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C227" w14:textId="77777777" w:rsidR="00A666D1" w:rsidRPr="00411DA1" w:rsidRDefault="00911E52" w:rsidP="00411DA1">
      <w:pPr>
        <w:spacing w:after="0" w:line="240" w:lineRule="auto"/>
        <w:jc w:val="center"/>
        <w:rPr>
          <w:rFonts w:cs="Tahoma"/>
          <w:b/>
          <w:i/>
          <w:sz w:val="32"/>
          <w:szCs w:val="32"/>
          <w:u w:val="single"/>
        </w:rPr>
      </w:pPr>
      <w:r w:rsidRPr="00AB0F88">
        <w:rPr>
          <w:rFonts w:cs="Tahoma"/>
          <w:b/>
          <w:i/>
          <w:sz w:val="32"/>
          <w:szCs w:val="32"/>
          <w:u w:val="single"/>
        </w:rPr>
        <w:t>Important decisions</w:t>
      </w:r>
      <w:r w:rsidR="00EE3F00" w:rsidRPr="00AB0F88">
        <w:rPr>
          <w:rFonts w:cs="Tahoma"/>
          <w:b/>
          <w:i/>
          <w:sz w:val="32"/>
          <w:szCs w:val="32"/>
          <w:u w:val="single"/>
        </w:rPr>
        <w:t>/Advisories</w:t>
      </w:r>
      <w:r w:rsidRPr="00AB0F88">
        <w:rPr>
          <w:rFonts w:cs="Tahoma"/>
          <w:b/>
          <w:i/>
          <w:sz w:val="32"/>
          <w:szCs w:val="32"/>
          <w:u w:val="single"/>
        </w:rPr>
        <w:t xml:space="preserve"> of CPE </w:t>
      </w:r>
      <w:r w:rsidR="008A1B7F" w:rsidRPr="00AB0F88">
        <w:rPr>
          <w:rFonts w:cs="Tahoma"/>
          <w:b/>
          <w:i/>
          <w:sz w:val="32"/>
          <w:szCs w:val="32"/>
          <w:u w:val="single"/>
        </w:rPr>
        <w:t>Committee</w:t>
      </w:r>
      <w:r w:rsidR="00411DA1">
        <w:rPr>
          <w:rFonts w:cs="Tahoma"/>
          <w:b/>
          <w:i/>
          <w:sz w:val="32"/>
          <w:szCs w:val="32"/>
          <w:u w:val="single"/>
        </w:rPr>
        <w:t>/</w:t>
      </w:r>
      <w:r w:rsidR="00B2490D" w:rsidRPr="00AB0F88">
        <w:rPr>
          <w:rFonts w:cs="Tahoma"/>
          <w:b/>
          <w:i/>
          <w:sz w:val="32"/>
          <w:szCs w:val="32"/>
          <w:u w:val="single"/>
        </w:rPr>
        <w:t xml:space="preserve">the </w:t>
      </w:r>
      <w:r w:rsidRPr="00AB0F88">
        <w:rPr>
          <w:rFonts w:cs="Tahoma"/>
          <w:b/>
          <w:i/>
          <w:sz w:val="32"/>
          <w:szCs w:val="32"/>
          <w:u w:val="single"/>
        </w:rPr>
        <w:t>Council</w:t>
      </w:r>
      <w:r w:rsidR="008A1B7F" w:rsidRPr="00AB0F88">
        <w:rPr>
          <w:rFonts w:cs="Tahoma"/>
          <w:b/>
          <w:i/>
          <w:sz w:val="32"/>
          <w:szCs w:val="32"/>
          <w:u w:val="single"/>
        </w:rPr>
        <w:t xml:space="preserve"> of ICAI</w:t>
      </w:r>
      <w:r w:rsidR="00A666D1" w:rsidRPr="00AB0F88">
        <w:rPr>
          <w:rFonts w:cs="Tahoma"/>
          <w:b/>
          <w:i/>
          <w:sz w:val="24"/>
          <w:szCs w:val="24"/>
          <w:u w:val="single"/>
        </w:rPr>
        <w:br/>
      </w:r>
    </w:p>
    <w:p w14:paraId="2BB13DD7" w14:textId="77777777" w:rsidR="00D1587E" w:rsidRPr="00AB0F88" w:rsidRDefault="00AB0F88" w:rsidP="00AB0F88">
      <w:pPr>
        <w:pStyle w:val="ListParagraph"/>
        <w:numPr>
          <w:ilvl w:val="0"/>
          <w:numId w:val="16"/>
        </w:numPr>
        <w:shd w:val="clear" w:color="auto" w:fill="FFFFFF"/>
        <w:spacing w:after="0" w:line="240" w:lineRule="auto"/>
        <w:ind w:left="360"/>
        <w:jc w:val="both"/>
        <w:rPr>
          <w:rFonts w:eastAsia="Times New Roman"/>
          <w:color w:val="000000"/>
          <w:sz w:val="24"/>
          <w:szCs w:val="24"/>
        </w:rPr>
      </w:pPr>
      <w:r w:rsidRPr="00AB0F88">
        <w:rPr>
          <w:rFonts w:cs="Calibri"/>
          <w:b/>
          <w:bCs/>
          <w:color w:val="333333"/>
          <w:sz w:val="24"/>
          <w:szCs w:val="24"/>
        </w:rPr>
        <w:t>Granting of 4 Structured CPE hours in online mode through Digital Learning Hub and compliance of CPE Hours requirements Calendar year wise from calendar year 2023 onwards</w:t>
      </w:r>
    </w:p>
    <w:p w14:paraId="499E3BB2" w14:textId="77777777" w:rsidR="00AB0F88" w:rsidRDefault="00D1587E" w:rsidP="00AB0F88">
      <w:pPr>
        <w:shd w:val="clear" w:color="auto" w:fill="FFFFFF"/>
        <w:spacing w:after="0" w:line="240" w:lineRule="auto"/>
        <w:jc w:val="both"/>
        <w:rPr>
          <w:rFonts w:eastAsia="Times New Roman" w:cs="Tahoma"/>
          <w:color w:val="000000"/>
          <w:sz w:val="24"/>
          <w:szCs w:val="24"/>
          <w:bdr w:val="none" w:sz="0" w:space="0" w:color="auto" w:frame="1"/>
        </w:rPr>
      </w:pPr>
      <w:r w:rsidRPr="00AB0F88">
        <w:rPr>
          <w:rFonts w:eastAsia="Times New Roman" w:cs="Tahoma"/>
          <w:color w:val="000000"/>
          <w:sz w:val="24"/>
          <w:szCs w:val="24"/>
          <w:bdr w:val="none" w:sz="0" w:space="0" w:color="auto" w:frame="1"/>
        </w:rPr>
        <w:t> </w:t>
      </w:r>
    </w:p>
    <w:p w14:paraId="5664E64B" w14:textId="77777777" w:rsidR="00353D44" w:rsidRPr="00353D44" w:rsidRDefault="00353D44" w:rsidP="00353D44">
      <w:pPr>
        <w:pStyle w:val="ListParagraph"/>
        <w:shd w:val="clear" w:color="auto" w:fill="FFFFFF"/>
        <w:spacing w:after="0" w:line="240" w:lineRule="auto"/>
        <w:ind w:left="360"/>
        <w:jc w:val="both"/>
        <w:rPr>
          <w:rFonts w:eastAsia="Times New Roman" w:cs="Calibri"/>
          <w:sz w:val="24"/>
          <w:szCs w:val="24"/>
        </w:rPr>
      </w:pPr>
      <w:r w:rsidRPr="00353D44">
        <w:rPr>
          <w:rFonts w:eastAsia="Times New Roman" w:cs="Calibri"/>
          <w:sz w:val="24"/>
          <w:szCs w:val="24"/>
        </w:rPr>
        <w:t xml:space="preserve">The Council at its 420th meeting held on 23rd and 24th March, 2023 decided as </w:t>
      </w:r>
      <w:proofErr w:type="gramStart"/>
      <w:r w:rsidRPr="00353D44">
        <w:rPr>
          <w:rFonts w:eastAsia="Times New Roman" w:cs="Calibri"/>
          <w:sz w:val="24"/>
          <w:szCs w:val="24"/>
        </w:rPr>
        <w:t>under:-</w:t>
      </w:r>
      <w:proofErr w:type="gramEnd"/>
    </w:p>
    <w:p w14:paraId="77E3A1C9" w14:textId="77777777" w:rsidR="00353D44" w:rsidRPr="00AB0F88" w:rsidRDefault="00353D44" w:rsidP="00AB0F88">
      <w:pPr>
        <w:shd w:val="clear" w:color="auto" w:fill="FFFFFF"/>
        <w:spacing w:after="0" w:line="240" w:lineRule="auto"/>
        <w:jc w:val="both"/>
        <w:rPr>
          <w:rFonts w:eastAsia="Times New Roman" w:cs="Tahoma"/>
          <w:color w:val="000000"/>
          <w:sz w:val="24"/>
          <w:szCs w:val="24"/>
          <w:bdr w:val="none" w:sz="0" w:space="0" w:color="auto" w:frame="1"/>
        </w:rPr>
      </w:pPr>
    </w:p>
    <w:p w14:paraId="72C2945A" w14:textId="77777777" w:rsidR="00AB0F88" w:rsidRPr="00411DA1" w:rsidRDefault="00AB0F88" w:rsidP="00411DA1">
      <w:pPr>
        <w:pStyle w:val="ListParagraph"/>
        <w:numPr>
          <w:ilvl w:val="0"/>
          <w:numId w:val="19"/>
        </w:numPr>
        <w:jc w:val="both"/>
        <w:rPr>
          <w:rFonts w:cs="Calibri"/>
          <w:color w:val="333333"/>
          <w:sz w:val="24"/>
          <w:szCs w:val="24"/>
          <w:shd w:val="clear" w:color="auto" w:fill="F5F5F5"/>
        </w:rPr>
      </w:pPr>
      <w:r w:rsidRPr="00411DA1">
        <w:rPr>
          <w:rFonts w:eastAsia="Times New Roman" w:cs="Calibri"/>
          <w:sz w:val="24"/>
          <w:szCs w:val="24"/>
        </w:rPr>
        <w:t>CPE hours requirements are to be fulfilled by the members on Calendar Year Basis (from 1</w:t>
      </w:r>
      <w:r w:rsidRPr="00411DA1">
        <w:rPr>
          <w:rFonts w:eastAsia="Times New Roman" w:cs="Calibri"/>
          <w:sz w:val="24"/>
          <w:szCs w:val="24"/>
          <w:vertAlign w:val="superscript"/>
        </w:rPr>
        <w:t>st</w:t>
      </w:r>
      <w:r w:rsidRPr="00411DA1">
        <w:rPr>
          <w:rFonts w:eastAsia="Times New Roman" w:cs="Calibri"/>
          <w:sz w:val="24"/>
          <w:szCs w:val="24"/>
        </w:rPr>
        <w:t xml:space="preserve"> January till 31</w:t>
      </w:r>
      <w:r w:rsidRPr="00411DA1">
        <w:rPr>
          <w:rFonts w:eastAsia="Times New Roman" w:cs="Calibri"/>
          <w:sz w:val="24"/>
          <w:szCs w:val="24"/>
          <w:vertAlign w:val="superscript"/>
        </w:rPr>
        <w:t>st</w:t>
      </w:r>
      <w:r w:rsidRPr="00411DA1">
        <w:rPr>
          <w:rFonts w:eastAsia="Times New Roman" w:cs="Calibri"/>
          <w:sz w:val="24"/>
          <w:szCs w:val="24"/>
        </w:rPr>
        <w:t xml:space="preserve"> December every year) only and the block/rolling period concept of three years is done away with. The same is applicable from Calendar Year 2023 onwards. Therefore, the members are required to complete their CPE hours requirements on the calendar yearly basis from the year 2023 onwards in accordance with the CPE hours requirements available at the </w:t>
      </w:r>
      <w:bookmarkStart w:id="0" w:name="_Hlk131691552"/>
      <w:r w:rsidRPr="00411DA1">
        <w:rPr>
          <w:rFonts w:eastAsia="Times New Roman" w:cs="Calibri"/>
          <w:sz w:val="24"/>
          <w:szCs w:val="24"/>
        </w:rPr>
        <w:fldChar w:fldCharType="begin"/>
      </w:r>
      <w:r w:rsidRPr="00411DA1">
        <w:rPr>
          <w:rFonts w:eastAsia="Times New Roman" w:cs="Calibri"/>
          <w:sz w:val="24"/>
          <w:szCs w:val="24"/>
        </w:rPr>
        <w:instrText xml:space="preserve"> HYPERLINK "https://resource.cdn.icai.org/73566cpe59376.pdf" </w:instrText>
      </w:r>
      <w:r w:rsidRPr="00411DA1">
        <w:rPr>
          <w:rFonts w:eastAsia="Times New Roman" w:cs="Calibri"/>
          <w:sz w:val="24"/>
          <w:szCs w:val="24"/>
        </w:rPr>
      </w:r>
      <w:r w:rsidRPr="00411DA1">
        <w:rPr>
          <w:rFonts w:eastAsia="Times New Roman" w:cs="Calibri"/>
          <w:sz w:val="24"/>
          <w:szCs w:val="24"/>
        </w:rPr>
        <w:fldChar w:fldCharType="separate"/>
      </w:r>
      <w:r w:rsidRPr="00411DA1">
        <w:rPr>
          <w:rStyle w:val="Hyperlink"/>
          <w:rFonts w:eastAsia="Times New Roman" w:cs="Calibri"/>
          <w:sz w:val="24"/>
          <w:szCs w:val="24"/>
        </w:rPr>
        <w:t>https://resource.cdn.icai.org/73566cpe59376.pdf</w:t>
      </w:r>
      <w:r w:rsidRPr="00411DA1">
        <w:rPr>
          <w:rFonts w:eastAsia="Times New Roman" w:cs="Calibri"/>
          <w:sz w:val="24"/>
          <w:szCs w:val="24"/>
        </w:rPr>
        <w:fldChar w:fldCharType="end"/>
      </w:r>
      <w:bookmarkEnd w:id="0"/>
      <w:r w:rsidRPr="00411DA1">
        <w:rPr>
          <w:rFonts w:eastAsia="Times New Roman" w:cs="Calibri"/>
          <w:sz w:val="24"/>
          <w:szCs w:val="24"/>
        </w:rPr>
        <w:t xml:space="preserve">    </w:t>
      </w:r>
    </w:p>
    <w:p w14:paraId="2DC2361C" w14:textId="77777777" w:rsidR="0037503A" w:rsidRPr="00AB0F88" w:rsidRDefault="00AB0F88" w:rsidP="00411DA1">
      <w:pPr>
        <w:spacing w:line="240" w:lineRule="auto"/>
        <w:ind w:left="1080"/>
        <w:jc w:val="both"/>
        <w:rPr>
          <w:rFonts w:cs="Calibri"/>
          <w:sz w:val="24"/>
          <w:szCs w:val="24"/>
        </w:rPr>
      </w:pPr>
      <w:r w:rsidRPr="00AB0F88">
        <w:rPr>
          <w:rFonts w:cs="Calibri"/>
          <w:i/>
          <w:iCs/>
          <w:sz w:val="24"/>
          <w:szCs w:val="24"/>
        </w:rPr>
        <w:t xml:space="preserve">Penal provisions/actions as applicable and decided by the Council will be announced separately for information of all the members and for </w:t>
      </w:r>
      <w:proofErr w:type="gramStart"/>
      <w:r w:rsidRPr="00AB0F88">
        <w:rPr>
          <w:rFonts w:cs="Calibri"/>
          <w:i/>
          <w:iCs/>
          <w:sz w:val="24"/>
          <w:szCs w:val="24"/>
        </w:rPr>
        <w:t>taking action</w:t>
      </w:r>
      <w:proofErr w:type="gramEnd"/>
      <w:r w:rsidRPr="00AB0F88">
        <w:rPr>
          <w:rFonts w:cs="Calibri"/>
          <w:i/>
          <w:iCs/>
          <w:sz w:val="24"/>
          <w:szCs w:val="24"/>
        </w:rPr>
        <w:t xml:space="preserve"> against those members who fail to comply with the CPE hours requirements issued under the directions </w:t>
      </w:r>
      <w:r w:rsidRPr="00AB0F88">
        <w:rPr>
          <w:rFonts w:cs="Calibri"/>
          <w:sz w:val="24"/>
          <w:szCs w:val="24"/>
        </w:rPr>
        <w:t>of the Council.</w:t>
      </w:r>
    </w:p>
    <w:p w14:paraId="0EA29BED" w14:textId="77777777" w:rsidR="0037503A" w:rsidRPr="00411DA1" w:rsidRDefault="00AB0F88" w:rsidP="00411DA1">
      <w:pPr>
        <w:pStyle w:val="ListParagraph"/>
        <w:numPr>
          <w:ilvl w:val="0"/>
          <w:numId w:val="19"/>
        </w:numPr>
        <w:jc w:val="both"/>
        <w:rPr>
          <w:rFonts w:cs="Calibri"/>
          <w:sz w:val="24"/>
          <w:szCs w:val="24"/>
        </w:rPr>
      </w:pPr>
      <w:r w:rsidRPr="00AB0F88">
        <w:rPr>
          <w:rFonts w:cs="Calibri"/>
          <w:sz w:val="24"/>
          <w:szCs w:val="24"/>
        </w:rPr>
        <w:t xml:space="preserve">To have </w:t>
      </w:r>
      <w:r w:rsidRPr="00AB0F88">
        <w:rPr>
          <w:rFonts w:cs="Calibri"/>
          <w:sz w:val="24"/>
          <w:szCs w:val="24"/>
          <w:shd w:val="clear" w:color="auto" w:fill="FFFFFF"/>
        </w:rPr>
        <w:t xml:space="preserve">mandatory 2 Structured CPE Hours each on topics of “Standards on Auditing” and “Code of Ethics” (total 4 Structured CPE Hours) during every Calendar year through </w:t>
      </w:r>
      <w:r w:rsidRPr="00AB0F88">
        <w:rPr>
          <w:rFonts w:cs="Calibri"/>
          <w:b/>
          <w:sz w:val="24"/>
          <w:szCs w:val="24"/>
          <w:shd w:val="clear" w:color="auto" w:fill="FFFFFF"/>
        </w:rPr>
        <w:t>DLH/Physical mode</w:t>
      </w:r>
      <w:r w:rsidRPr="00AB0F88">
        <w:rPr>
          <w:rFonts w:cs="Calibri"/>
          <w:sz w:val="24"/>
          <w:szCs w:val="24"/>
          <w:shd w:val="clear" w:color="auto" w:fill="FFFFFF"/>
        </w:rPr>
        <w:t xml:space="preserve"> (applicable from Calendar Year 2020 onwards) for the Categories of members who are required to complete minimum 20 Structured CPE Hours in a Calendar year (COP Holder). This may be completed at any time during the year through </w:t>
      </w:r>
      <w:r w:rsidRPr="00AB0F88">
        <w:rPr>
          <w:rFonts w:cs="Calibri"/>
          <w:b/>
          <w:sz w:val="24"/>
          <w:szCs w:val="24"/>
          <w:shd w:val="clear" w:color="auto" w:fill="FFFFFF"/>
        </w:rPr>
        <w:t>DLH/Physical mode</w:t>
      </w:r>
      <w:r w:rsidRPr="00AB0F88">
        <w:rPr>
          <w:rFonts w:cs="Calibri"/>
          <w:sz w:val="24"/>
          <w:szCs w:val="24"/>
          <w:shd w:val="clear" w:color="auto" w:fill="FFFFFF"/>
        </w:rPr>
        <w:t>.</w:t>
      </w:r>
    </w:p>
    <w:p w14:paraId="0F449F14" w14:textId="77777777" w:rsidR="00411DA1" w:rsidRPr="00411DA1" w:rsidRDefault="00411DA1" w:rsidP="00411DA1">
      <w:pPr>
        <w:pStyle w:val="ListParagraph"/>
        <w:ind w:left="1080"/>
        <w:jc w:val="both"/>
        <w:rPr>
          <w:rFonts w:cs="Calibri"/>
          <w:sz w:val="24"/>
          <w:szCs w:val="24"/>
        </w:rPr>
      </w:pPr>
    </w:p>
    <w:p w14:paraId="56977CC9" w14:textId="77777777" w:rsidR="00411DA1" w:rsidRPr="00411DA1" w:rsidRDefault="00AB0F88" w:rsidP="00411DA1">
      <w:pPr>
        <w:pStyle w:val="ListParagraph"/>
        <w:numPr>
          <w:ilvl w:val="0"/>
          <w:numId w:val="19"/>
        </w:numPr>
        <w:jc w:val="both"/>
        <w:rPr>
          <w:rFonts w:cs="Calibri"/>
          <w:sz w:val="24"/>
          <w:szCs w:val="24"/>
        </w:rPr>
      </w:pPr>
      <w:r w:rsidRPr="00AB0F88">
        <w:rPr>
          <w:rFonts w:eastAsia="Times New Roman" w:cs="Calibri"/>
          <w:iCs/>
          <w:sz w:val="24"/>
          <w:szCs w:val="24"/>
          <w:bdr w:val="none" w:sz="0" w:space="0" w:color="auto" w:frame="1"/>
        </w:rPr>
        <w:t>Out of 20 Structured CPE Hours which is mandatorily to be completed by the members below 60 years and holding COP, in each Calendar year starting from 2023 (including mandatory CPE hours on “Code of Ethics” and “Standards on Auditing” as mentioned in above point B), 4 Structured CPE Hours can be completed in virtual mode through Digital Learning Hub (DLH) till any further modification as virtual CPE meetings (VCMs) are being discontinued from 1</w:t>
      </w:r>
      <w:r w:rsidRPr="00AB0F88">
        <w:rPr>
          <w:rFonts w:eastAsia="Times New Roman" w:cs="Calibri"/>
          <w:iCs/>
          <w:sz w:val="24"/>
          <w:szCs w:val="24"/>
          <w:bdr w:val="none" w:sz="0" w:space="0" w:color="auto" w:frame="1"/>
          <w:vertAlign w:val="superscript"/>
        </w:rPr>
        <w:t>st</w:t>
      </w:r>
      <w:r w:rsidRPr="00AB0F88">
        <w:rPr>
          <w:rFonts w:eastAsia="Times New Roman" w:cs="Calibri"/>
          <w:iCs/>
          <w:sz w:val="24"/>
          <w:szCs w:val="24"/>
          <w:bdr w:val="none" w:sz="0" w:space="0" w:color="auto" w:frame="1"/>
        </w:rPr>
        <w:t xml:space="preserve"> April, 2023. Members may further note that who have already earned 4 or less Structured CPE hours in online mode (through VCM/DLH) till 31</w:t>
      </w:r>
      <w:r w:rsidRPr="00AB0F88">
        <w:rPr>
          <w:rFonts w:eastAsia="Times New Roman" w:cs="Calibri"/>
          <w:iCs/>
          <w:sz w:val="24"/>
          <w:szCs w:val="24"/>
          <w:bdr w:val="none" w:sz="0" w:space="0" w:color="auto" w:frame="1"/>
          <w:vertAlign w:val="superscript"/>
        </w:rPr>
        <w:t>st</w:t>
      </w:r>
      <w:r w:rsidRPr="00AB0F88">
        <w:rPr>
          <w:rFonts w:eastAsia="Times New Roman" w:cs="Calibri"/>
          <w:iCs/>
          <w:sz w:val="24"/>
          <w:szCs w:val="24"/>
          <w:bdr w:val="none" w:sz="0" w:space="0" w:color="auto" w:frame="1"/>
        </w:rPr>
        <w:t xml:space="preserve"> </w:t>
      </w:r>
      <w:proofErr w:type="gramStart"/>
      <w:r w:rsidRPr="00AB0F88">
        <w:rPr>
          <w:rFonts w:eastAsia="Times New Roman" w:cs="Calibri"/>
          <w:iCs/>
          <w:sz w:val="24"/>
          <w:szCs w:val="24"/>
          <w:bdr w:val="none" w:sz="0" w:space="0" w:color="auto" w:frame="1"/>
        </w:rPr>
        <w:t>March,</w:t>
      </w:r>
      <w:proofErr w:type="gramEnd"/>
      <w:r w:rsidRPr="00AB0F88">
        <w:rPr>
          <w:rFonts w:eastAsia="Times New Roman" w:cs="Calibri"/>
          <w:iCs/>
          <w:sz w:val="24"/>
          <w:szCs w:val="24"/>
          <w:bdr w:val="none" w:sz="0" w:space="0" w:color="auto" w:frame="1"/>
        </w:rPr>
        <w:t xml:space="preserve"> 2023, will get credit on actual basis subject to maximum of 4 Structured CPE hours for the Calendar year 2023.</w:t>
      </w:r>
      <w:r w:rsidR="00411DA1">
        <w:rPr>
          <w:rFonts w:eastAsia="Times New Roman" w:cs="Calibri"/>
          <w:iCs/>
          <w:sz w:val="24"/>
          <w:szCs w:val="24"/>
          <w:bdr w:val="none" w:sz="0" w:space="0" w:color="auto" w:frame="1"/>
        </w:rPr>
        <w:br/>
      </w:r>
    </w:p>
    <w:p w14:paraId="0C9AFF8B" w14:textId="77777777" w:rsidR="00AB0F88" w:rsidRPr="00AB0F88" w:rsidRDefault="00AB0F88" w:rsidP="00411DA1">
      <w:pPr>
        <w:pStyle w:val="ListParagraph"/>
        <w:ind w:left="1080"/>
        <w:jc w:val="both"/>
        <w:rPr>
          <w:sz w:val="24"/>
          <w:szCs w:val="24"/>
          <w:lang w:val="en-IN"/>
        </w:rPr>
      </w:pPr>
      <w:r w:rsidRPr="00AB0F88">
        <w:rPr>
          <w:sz w:val="24"/>
          <w:szCs w:val="24"/>
        </w:rPr>
        <w:t xml:space="preserve">Further, </w:t>
      </w:r>
      <w:r w:rsidRPr="00AB0F88">
        <w:rPr>
          <w:color w:val="000000"/>
          <w:sz w:val="24"/>
          <w:szCs w:val="24"/>
          <w:shd w:val="clear" w:color="auto" w:fill="FFFFFF"/>
        </w:rPr>
        <w:t>Members may also note that structured CPE hours obtained in online mode (through VCM (till March 31, 2023)/DLH) over and above as allowed above shall</w:t>
      </w:r>
      <w:r w:rsidRPr="00AB0F88">
        <w:rPr>
          <w:color w:val="333333"/>
          <w:sz w:val="24"/>
          <w:szCs w:val="24"/>
          <w:shd w:val="clear" w:color="auto" w:fill="F5F5F5"/>
        </w:rPr>
        <w:t xml:space="preserve"> </w:t>
      </w:r>
      <w:r w:rsidRPr="00AB0F88">
        <w:rPr>
          <w:sz w:val="24"/>
          <w:szCs w:val="24"/>
          <w:lang w:val="en-IN"/>
        </w:rPr>
        <w:t>continue to be counted as Unstructured CPE Hours for compliance purpose. However, total Structured CPE hours obtained in physical mode (apart from online mode as allowed) shall continue to be counted as Structured CPE Hours. ICAI Digital Learning Hub may be accessed at </w:t>
      </w:r>
      <w:hyperlink r:id="rId7" w:history="1">
        <w:r w:rsidRPr="00AB0F88">
          <w:rPr>
            <w:rStyle w:val="Hyperlink"/>
            <w:sz w:val="24"/>
            <w:szCs w:val="24"/>
            <w:lang w:val="en-IN"/>
          </w:rPr>
          <w:t>https://eservices.icai.org/</w:t>
        </w:r>
      </w:hyperlink>
      <w:r w:rsidRPr="00AB0F88">
        <w:rPr>
          <w:sz w:val="24"/>
          <w:szCs w:val="24"/>
          <w:lang w:val="en-IN"/>
        </w:rPr>
        <w:t xml:space="preserve"> </w:t>
      </w:r>
    </w:p>
    <w:p w14:paraId="314A26C7" w14:textId="77777777" w:rsidR="0037503A" w:rsidRPr="00AB0F88" w:rsidRDefault="0037503A" w:rsidP="00D1587E">
      <w:pPr>
        <w:shd w:val="clear" w:color="auto" w:fill="FFFFFF"/>
        <w:spacing w:after="0" w:line="240" w:lineRule="auto"/>
        <w:jc w:val="both"/>
        <w:rPr>
          <w:rFonts w:eastAsia="Times New Roman"/>
          <w:color w:val="000000"/>
          <w:sz w:val="24"/>
          <w:szCs w:val="24"/>
        </w:rPr>
      </w:pPr>
    </w:p>
    <w:p w14:paraId="04BE6B60" w14:textId="77777777" w:rsidR="00D1587E" w:rsidRDefault="00D1587E" w:rsidP="00AB0F88">
      <w:pPr>
        <w:pStyle w:val="ListParagraph"/>
        <w:numPr>
          <w:ilvl w:val="0"/>
          <w:numId w:val="16"/>
        </w:numPr>
        <w:shd w:val="clear" w:color="auto" w:fill="FFFFFF"/>
        <w:spacing w:after="0" w:line="240" w:lineRule="auto"/>
        <w:ind w:left="360"/>
        <w:jc w:val="both"/>
        <w:rPr>
          <w:rFonts w:cs="Tahoma"/>
          <w:b/>
          <w:sz w:val="24"/>
          <w:szCs w:val="24"/>
          <w:u w:val="single"/>
        </w:rPr>
      </w:pPr>
      <w:proofErr w:type="spellStart"/>
      <w:r w:rsidRPr="00AB0F88">
        <w:rPr>
          <w:rFonts w:cs="Tahoma"/>
          <w:b/>
          <w:sz w:val="24"/>
          <w:szCs w:val="24"/>
          <w:u w:val="single"/>
        </w:rPr>
        <w:t>Standardisation</w:t>
      </w:r>
      <w:proofErr w:type="spellEnd"/>
      <w:r w:rsidRPr="00AB0F88">
        <w:rPr>
          <w:rFonts w:cs="Tahoma"/>
          <w:b/>
          <w:sz w:val="24"/>
          <w:szCs w:val="24"/>
          <w:u w:val="single"/>
        </w:rPr>
        <w:t xml:space="preserve"> of CPE </w:t>
      </w:r>
      <w:proofErr w:type="spellStart"/>
      <w:r w:rsidRPr="00AB0F88">
        <w:rPr>
          <w:rFonts w:cs="Tahoma"/>
          <w:b/>
          <w:sz w:val="24"/>
          <w:szCs w:val="24"/>
          <w:u w:val="single"/>
        </w:rPr>
        <w:t>Programmes</w:t>
      </w:r>
      <w:proofErr w:type="spellEnd"/>
      <w:r w:rsidRPr="00AB0F88">
        <w:rPr>
          <w:rFonts w:cs="Tahoma"/>
          <w:b/>
          <w:sz w:val="24"/>
          <w:szCs w:val="24"/>
          <w:u w:val="single"/>
        </w:rPr>
        <w:t xml:space="preserve"> fees</w:t>
      </w:r>
      <w:r w:rsidR="00FA50EB" w:rsidRPr="00AB0F88">
        <w:rPr>
          <w:rFonts w:cs="Tahoma"/>
          <w:b/>
          <w:sz w:val="24"/>
          <w:szCs w:val="24"/>
          <w:u w:val="single"/>
        </w:rPr>
        <w:t xml:space="preserve"> (Annexure “A”)</w:t>
      </w:r>
    </w:p>
    <w:p w14:paraId="1829F581" w14:textId="77777777" w:rsidR="00AB0F88" w:rsidRPr="00AB0F88" w:rsidRDefault="00AB0F88" w:rsidP="00AB0F88">
      <w:pPr>
        <w:pStyle w:val="ListParagraph"/>
        <w:shd w:val="clear" w:color="auto" w:fill="FFFFFF"/>
        <w:spacing w:after="0" w:line="240" w:lineRule="auto"/>
        <w:ind w:left="360"/>
        <w:jc w:val="both"/>
        <w:rPr>
          <w:rFonts w:cs="Tahoma"/>
          <w:b/>
          <w:sz w:val="24"/>
          <w:szCs w:val="24"/>
          <w:u w:val="single"/>
        </w:rPr>
      </w:pPr>
    </w:p>
    <w:p w14:paraId="1CBC0F1C" w14:textId="00115F9D" w:rsidR="00D1587E" w:rsidRDefault="00D1587E" w:rsidP="00175991">
      <w:pPr>
        <w:shd w:val="clear" w:color="auto" w:fill="FFFFFF"/>
        <w:spacing w:after="0" w:line="360" w:lineRule="atLeast"/>
        <w:ind w:left="360"/>
        <w:jc w:val="both"/>
        <w:rPr>
          <w:rFonts w:eastAsia="Times New Roman" w:cs="Tahoma"/>
          <w:color w:val="000000"/>
          <w:sz w:val="24"/>
          <w:szCs w:val="24"/>
          <w:bdr w:val="none" w:sz="0" w:space="0" w:color="auto" w:frame="1"/>
        </w:rPr>
      </w:pPr>
      <w:r w:rsidRPr="00AB0F88">
        <w:rPr>
          <w:rFonts w:eastAsia="Times New Roman" w:cs="Tahoma"/>
          <w:color w:val="000000"/>
          <w:sz w:val="24"/>
          <w:szCs w:val="24"/>
          <w:bdr w:val="none" w:sz="0" w:space="0" w:color="auto" w:frame="1"/>
        </w:rPr>
        <w:t xml:space="preserve">W.e.f. 12.07.2022, following is the minimum fee schedule for CPE </w:t>
      </w:r>
      <w:proofErr w:type="spellStart"/>
      <w:proofErr w:type="gram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w:t>
      </w:r>
      <w:r w:rsidR="00A12B86">
        <w:rPr>
          <w:rFonts w:eastAsia="Times New Roman" w:cs="Tahoma"/>
          <w:color w:val="000000"/>
          <w:sz w:val="24"/>
          <w:szCs w:val="24"/>
          <w:bdr w:val="none" w:sz="0" w:space="0" w:color="auto" w:frame="1"/>
        </w:rPr>
        <w:t>:</w:t>
      </w:r>
      <w:proofErr w:type="gramEnd"/>
      <w:r w:rsidR="00A12B86">
        <w:rPr>
          <w:rFonts w:eastAsia="Times New Roman" w:cs="Tahoma"/>
          <w:color w:val="000000"/>
          <w:sz w:val="24"/>
          <w:szCs w:val="24"/>
          <w:bdr w:val="none" w:sz="0" w:space="0" w:color="auto" w:frame="1"/>
        </w:rPr>
        <w:t>-</w:t>
      </w:r>
    </w:p>
    <w:p w14:paraId="759C7651" w14:textId="77777777" w:rsidR="00411DA1" w:rsidRPr="00AB0F88" w:rsidRDefault="00411DA1" w:rsidP="00175991">
      <w:pPr>
        <w:shd w:val="clear" w:color="auto" w:fill="FFFFFF"/>
        <w:spacing w:after="0" w:line="360" w:lineRule="atLeast"/>
        <w:ind w:left="360"/>
        <w:jc w:val="both"/>
        <w:rPr>
          <w:rFonts w:eastAsia="Times New Roman"/>
          <w:color w:val="000000"/>
          <w:sz w:val="24"/>
          <w:szCs w:val="24"/>
        </w:rPr>
      </w:pPr>
    </w:p>
    <w:tbl>
      <w:tblPr>
        <w:tblW w:w="9152"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410"/>
        <w:gridCol w:w="6742"/>
      </w:tblGrid>
      <w:tr w:rsidR="00D1587E" w:rsidRPr="00AB0F88" w14:paraId="3A6076E1" w14:textId="77777777" w:rsidTr="00A12B86">
        <w:trPr>
          <w:trHeight w:val="642"/>
        </w:trPr>
        <w:tc>
          <w:tcPr>
            <w:tcW w:w="24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3F6C4" w14:textId="77777777" w:rsidR="00D1587E" w:rsidRPr="00AB0F88" w:rsidRDefault="00D1587E" w:rsidP="0049483F">
            <w:pPr>
              <w:spacing w:after="0" w:line="360" w:lineRule="atLeast"/>
              <w:jc w:val="both"/>
              <w:rPr>
                <w:rFonts w:eastAsia="Times New Roman"/>
                <w:color w:val="000000"/>
                <w:sz w:val="24"/>
                <w:szCs w:val="24"/>
              </w:rPr>
            </w:pPr>
            <w:proofErr w:type="spellStart"/>
            <w:r w:rsidRPr="00AB0F88">
              <w:rPr>
                <w:rFonts w:eastAsia="Times New Roman" w:cs="Tahoma"/>
                <w:b/>
                <w:bCs/>
                <w:color w:val="000000"/>
                <w:sz w:val="24"/>
                <w:szCs w:val="24"/>
                <w:bdr w:val="none" w:sz="0" w:space="0" w:color="auto" w:frame="1"/>
              </w:rPr>
              <w:t>Programme</w:t>
            </w:r>
            <w:proofErr w:type="spellEnd"/>
            <w:r w:rsidRPr="00AB0F88">
              <w:rPr>
                <w:rFonts w:eastAsia="Times New Roman" w:cs="Tahoma"/>
                <w:b/>
                <w:bCs/>
                <w:color w:val="000000"/>
                <w:sz w:val="24"/>
                <w:szCs w:val="24"/>
                <w:bdr w:val="none" w:sz="0" w:space="0" w:color="auto" w:frame="1"/>
              </w:rPr>
              <w:t xml:space="preserve"> Hours </w:t>
            </w:r>
          </w:p>
        </w:tc>
        <w:tc>
          <w:tcPr>
            <w:tcW w:w="67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E8211" w14:textId="77777777" w:rsidR="00D1587E" w:rsidRPr="00AB0F88" w:rsidRDefault="00D1587E" w:rsidP="0049483F">
            <w:pPr>
              <w:spacing w:after="0" w:line="360" w:lineRule="atLeast"/>
              <w:jc w:val="both"/>
              <w:rPr>
                <w:rFonts w:eastAsia="Times New Roman"/>
                <w:color w:val="000000"/>
                <w:sz w:val="24"/>
                <w:szCs w:val="24"/>
              </w:rPr>
            </w:pPr>
            <w:r w:rsidRPr="00AB0F88">
              <w:rPr>
                <w:rFonts w:eastAsia="Times New Roman" w:cs="Tahoma"/>
                <w:b/>
                <w:bCs/>
                <w:color w:val="000000"/>
                <w:sz w:val="24"/>
                <w:szCs w:val="24"/>
                <w:bdr w:val="none" w:sz="0" w:space="0" w:color="auto" w:frame="1"/>
              </w:rPr>
              <w:t>Minimum prescribed fee (Applicable taxes extra) </w:t>
            </w:r>
          </w:p>
        </w:tc>
      </w:tr>
      <w:tr w:rsidR="00A12B86" w:rsidRPr="00AB0F88" w14:paraId="552AB075" w14:textId="77777777" w:rsidTr="00A12B86">
        <w:trPr>
          <w:trHeight w:val="642"/>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1BD7221" w14:textId="77777777" w:rsidR="00A12B86" w:rsidRPr="00AB0F88" w:rsidRDefault="00A12B86" w:rsidP="0049483F">
            <w:pPr>
              <w:spacing w:after="0" w:line="240" w:lineRule="auto"/>
              <w:jc w:val="both"/>
              <w:rPr>
                <w:rFonts w:eastAsia="Times New Roman"/>
                <w:color w:val="000000"/>
                <w:sz w:val="24"/>
                <w:szCs w:val="24"/>
              </w:rPr>
            </w:pP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00E09" w14:textId="358DAC81"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b/>
                <w:bCs/>
                <w:color w:val="000000"/>
                <w:sz w:val="24"/>
                <w:szCs w:val="24"/>
                <w:bdr w:val="none" w:sz="0" w:space="0" w:color="auto" w:frame="1"/>
              </w:rPr>
              <w:t xml:space="preserve">CPE </w:t>
            </w:r>
            <w:proofErr w:type="spellStart"/>
            <w:r w:rsidRPr="00AB0F88">
              <w:rPr>
                <w:rFonts w:eastAsia="Times New Roman" w:cs="Tahoma"/>
                <w:b/>
                <w:bCs/>
                <w:color w:val="000000"/>
                <w:sz w:val="24"/>
                <w:szCs w:val="24"/>
                <w:bdr w:val="none" w:sz="0" w:space="0" w:color="auto" w:frame="1"/>
              </w:rPr>
              <w:t>Programmes</w:t>
            </w:r>
            <w:proofErr w:type="spellEnd"/>
            <w:r w:rsidRPr="00AB0F88">
              <w:rPr>
                <w:rFonts w:eastAsia="Times New Roman" w:cs="Tahoma"/>
                <w:b/>
                <w:bCs/>
                <w:color w:val="000000"/>
                <w:sz w:val="24"/>
                <w:szCs w:val="24"/>
                <w:bdr w:val="none" w:sz="0" w:space="0" w:color="auto" w:frame="1"/>
              </w:rPr>
              <w:t xml:space="preserve"> in physical mode including fee for participants in online Refresher Course </w:t>
            </w:r>
          </w:p>
        </w:tc>
      </w:tr>
      <w:tr w:rsidR="00A12B86" w:rsidRPr="00AB0F88" w14:paraId="13EB1F82" w14:textId="77777777" w:rsidTr="00A12B86">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06D04"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2 CPE Hours </w:t>
            </w: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31D9A"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Rs. 100/- </w:t>
            </w:r>
          </w:p>
        </w:tc>
      </w:tr>
      <w:tr w:rsidR="00A12B86" w:rsidRPr="00AB0F88" w14:paraId="5DEC8F3F" w14:textId="77777777" w:rsidTr="00A12B86">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46FE8"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3/4/5 CPE Hours </w:t>
            </w: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5DB2B"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Rs. 200/- </w:t>
            </w:r>
          </w:p>
        </w:tc>
      </w:tr>
      <w:tr w:rsidR="00A12B86" w:rsidRPr="00AB0F88" w14:paraId="568BD704" w14:textId="77777777" w:rsidTr="00A12B86">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405DCB"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6 CPE Hours </w:t>
            </w: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5B22E4"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Rs. 500/- </w:t>
            </w:r>
          </w:p>
        </w:tc>
      </w:tr>
      <w:tr w:rsidR="00A12B86" w:rsidRPr="00AB0F88" w14:paraId="7A76BEC0" w14:textId="77777777" w:rsidTr="00A12B86">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49B7B"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7/8/9/10/11 CPE Hours </w:t>
            </w: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D8E29"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 xml:space="preserve">Rs. 500 + Rs.200 </w:t>
            </w:r>
            <w:proofErr w:type="gramStart"/>
            <w:r w:rsidRPr="00AB0F88">
              <w:rPr>
                <w:rFonts w:eastAsia="Times New Roman" w:cs="Tahoma"/>
                <w:color w:val="000000"/>
                <w:sz w:val="24"/>
                <w:szCs w:val="24"/>
                <w:bdr w:val="none" w:sz="0" w:space="0" w:color="auto" w:frame="1"/>
              </w:rPr>
              <w:t>i.e.</w:t>
            </w:r>
            <w:proofErr w:type="gramEnd"/>
            <w:r w:rsidRPr="00AB0F88">
              <w:rPr>
                <w:rFonts w:eastAsia="Times New Roman" w:cs="Tahoma"/>
                <w:color w:val="000000"/>
                <w:sz w:val="24"/>
                <w:szCs w:val="24"/>
                <w:bdr w:val="none" w:sz="0" w:space="0" w:color="auto" w:frame="1"/>
              </w:rPr>
              <w:t xml:space="preserve"> Rs. 700/- </w:t>
            </w:r>
          </w:p>
        </w:tc>
      </w:tr>
      <w:tr w:rsidR="00A12B86" w:rsidRPr="00AB0F88" w14:paraId="14864AEB" w14:textId="77777777" w:rsidTr="00A12B86">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80B7DF"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12 CPE Hours </w:t>
            </w:r>
          </w:p>
        </w:tc>
        <w:tc>
          <w:tcPr>
            <w:tcW w:w="6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1AC40C" w14:textId="77777777" w:rsidR="00A12B86" w:rsidRPr="00AB0F88" w:rsidRDefault="00A12B86" w:rsidP="0049483F">
            <w:pPr>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Rs. 1000/- </w:t>
            </w:r>
          </w:p>
        </w:tc>
      </w:tr>
      <w:tr w:rsidR="00D1587E" w:rsidRPr="00AB0F88" w14:paraId="11CAC257" w14:textId="77777777" w:rsidTr="00A12B86">
        <w:trPr>
          <w:trHeight w:val="644"/>
        </w:trPr>
        <w:tc>
          <w:tcPr>
            <w:tcW w:w="91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4D636" w14:textId="77777777" w:rsidR="00D1587E" w:rsidRPr="00AB0F88" w:rsidRDefault="00D1587E" w:rsidP="0049483F">
            <w:pPr>
              <w:spacing w:after="0" w:line="360" w:lineRule="atLeast"/>
              <w:jc w:val="both"/>
              <w:rPr>
                <w:rFonts w:eastAsia="Times New Roman"/>
                <w:color w:val="000000"/>
                <w:sz w:val="24"/>
                <w:szCs w:val="24"/>
              </w:rPr>
            </w:pPr>
            <w:proofErr w:type="gramStart"/>
            <w:r w:rsidRPr="00AB0F88">
              <w:rPr>
                <w:rFonts w:eastAsia="Times New Roman" w:cs="Tahoma"/>
                <w:color w:val="000000"/>
                <w:sz w:val="24"/>
                <w:szCs w:val="24"/>
                <w:bdr w:val="none" w:sz="0" w:space="0" w:color="auto" w:frame="1"/>
              </w:rPr>
              <w:t>Same</w:t>
            </w:r>
            <w:proofErr w:type="gramEnd"/>
            <w:r w:rsidRPr="00AB0F88">
              <w:rPr>
                <w:rFonts w:eastAsia="Times New Roman" w:cs="Tahoma"/>
                <w:color w:val="000000"/>
                <w:sz w:val="24"/>
                <w:szCs w:val="24"/>
                <w:bdr w:val="none" w:sz="0" w:space="0" w:color="auto" w:frame="1"/>
              </w:rPr>
              <w:t xml:space="preserve"> analogy shall be followed for more than 12 hours CPE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in case the said event is a single event. </w:t>
            </w:r>
          </w:p>
        </w:tc>
      </w:tr>
    </w:tbl>
    <w:p w14:paraId="2A8E4CAA" w14:textId="77777777" w:rsidR="00D1587E" w:rsidRPr="00AB0F88" w:rsidRDefault="00D1587E" w:rsidP="00D1587E">
      <w:pPr>
        <w:shd w:val="clear" w:color="auto" w:fill="FFFFFF"/>
        <w:spacing w:after="0" w:line="360" w:lineRule="atLeast"/>
        <w:jc w:val="both"/>
        <w:rPr>
          <w:rFonts w:eastAsia="Times New Roman"/>
          <w:color w:val="000000"/>
          <w:sz w:val="24"/>
          <w:szCs w:val="24"/>
        </w:rPr>
      </w:pPr>
      <w:r w:rsidRPr="00AB0F88">
        <w:rPr>
          <w:rFonts w:eastAsia="Times New Roman" w:cs="Tahoma"/>
          <w:color w:val="000000"/>
          <w:sz w:val="24"/>
          <w:szCs w:val="24"/>
          <w:bdr w:val="none" w:sz="0" w:space="0" w:color="auto" w:frame="1"/>
        </w:rPr>
        <w:t> </w:t>
      </w:r>
    </w:p>
    <w:p w14:paraId="301FCD0E" w14:textId="77777777" w:rsidR="00D1587E" w:rsidRPr="00AB0F88" w:rsidRDefault="00D1587E" w:rsidP="00D1587E">
      <w:pPr>
        <w:shd w:val="clear" w:color="auto" w:fill="FFFFFF"/>
        <w:spacing w:after="0" w:line="360" w:lineRule="atLeast"/>
        <w:jc w:val="both"/>
        <w:rPr>
          <w:rFonts w:eastAsia="Times New Roman" w:cs="Tahoma"/>
          <w:color w:val="000000"/>
          <w:sz w:val="24"/>
          <w:szCs w:val="24"/>
          <w:bdr w:val="none" w:sz="0" w:space="0" w:color="auto" w:frame="1"/>
        </w:rPr>
      </w:pPr>
      <w:r w:rsidRPr="00AB0F88">
        <w:rPr>
          <w:rFonts w:eastAsia="Times New Roman" w:cs="Tahoma"/>
          <w:color w:val="000000"/>
          <w:sz w:val="24"/>
          <w:szCs w:val="24"/>
          <w:bdr w:val="none" w:sz="0" w:space="0" w:color="auto" w:frame="1"/>
        </w:rPr>
        <w:t xml:space="preserve">It may also be noted that as per </w:t>
      </w:r>
      <w:r w:rsidR="001A779E" w:rsidRPr="00AB0F88">
        <w:rPr>
          <w:rFonts w:eastAsia="Times New Roman" w:cs="Tahoma"/>
          <w:color w:val="000000"/>
          <w:sz w:val="24"/>
          <w:szCs w:val="24"/>
          <w:bdr w:val="none" w:sz="0" w:space="0" w:color="auto" w:frame="1"/>
        </w:rPr>
        <w:t xml:space="preserve">the </w:t>
      </w:r>
      <w:r w:rsidRPr="00AB0F88">
        <w:rPr>
          <w:rFonts w:eastAsia="Times New Roman" w:cs="Tahoma"/>
          <w:color w:val="000000"/>
          <w:sz w:val="24"/>
          <w:szCs w:val="24"/>
          <w:bdr w:val="none" w:sz="0" w:space="0" w:color="auto" w:frame="1"/>
        </w:rPr>
        <w:t>CPE advisory</w:t>
      </w:r>
      <w:r w:rsidR="001A779E" w:rsidRPr="00AB0F88">
        <w:rPr>
          <w:rFonts w:eastAsia="Times New Roman" w:cs="Tahoma"/>
          <w:color w:val="000000"/>
          <w:sz w:val="24"/>
          <w:szCs w:val="24"/>
          <w:bdr w:val="none" w:sz="0" w:space="0" w:color="auto" w:frame="1"/>
        </w:rPr>
        <w:t>,</w:t>
      </w:r>
      <w:r w:rsidRPr="00AB0F88">
        <w:rPr>
          <w:rFonts w:eastAsia="Times New Roman" w:cs="Tahoma"/>
          <w:color w:val="000000"/>
          <w:sz w:val="24"/>
          <w:szCs w:val="24"/>
          <w:bdr w:val="none" w:sz="0" w:space="0" w:color="auto" w:frame="1"/>
        </w:rPr>
        <w:t xml:space="preserve"> CPE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to be conducted on </w:t>
      </w:r>
      <w:proofErr w:type="gramStart"/>
      <w:r w:rsidRPr="00AB0F88">
        <w:rPr>
          <w:rFonts w:eastAsia="Times New Roman" w:cs="Tahoma"/>
          <w:color w:val="000000"/>
          <w:sz w:val="24"/>
          <w:szCs w:val="24"/>
          <w:bdr w:val="none" w:sz="0" w:space="0" w:color="auto" w:frame="1"/>
        </w:rPr>
        <w:t>self</w:t>
      </w:r>
      <w:proofErr w:type="gramEnd"/>
      <w:r w:rsidRPr="00AB0F88">
        <w:rPr>
          <w:rFonts w:eastAsia="Times New Roman" w:cs="Tahoma"/>
          <w:color w:val="000000"/>
          <w:sz w:val="24"/>
          <w:szCs w:val="24"/>
          <w:bdr w:val="none" w:sz="0" w:space="0" w:color="auto" w:frame="1"/>
        </w:rPr>
        <w:t xml:space="preserve">-financing basis and it should be the </w:t>
      </w:r>
      <w:proofErr w:type="spellStart"/>
      <w:r w:rsidRPr="00AB0F88">
        <w:rPr>
          <w:rFonts w:eastAsia="Times New Roman" w:cs="Tahoma"/>
          <w:color w:val="000000"/>
          <w:sz w:val="24"/>
          <w:szCs w:val="24"/>
          <w:bdr w:val="none" w:sz="0" w:space="0" w:color="auto" w:frame="1"/>
        </w:rPr>
        <w:t>endeavour</w:t>
      </w:r>
      <w:proofErr w:type="spellEnd"/>
      <w:r w:rsidRPr="00AB0F88">
        <w:rPr>
          <w:rFonts w:eastAsia="Times New Roman" w:cs="Tahoma"/>
          <w:color w:val="000000"/>
          <w:sz w:val="24"/>
          <w:szCs w:val="24"/>
          <w:bdr w:val="none" w:sz="0" w:space="0" w:color="auto" w:frame="1"/>
        </w:rPr>
        <w:t xml:space="preserve"> of the POUs to conduct each CPE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on a self-financing basis. </w:t>
      </w:r>
    </w:p>
    <w:p w14:paraId="4F0A6DDF" w14:textId="77777777" w:rsidR="001A779E" w:rsidRPr="00AB0F88" w:rsidRDefault="001A779E" w:rsidP="00D1587E">
      <w:pPr>
        <w:shd w:val="clear" w:color="auto" w:fill="FFFFFF"/>
        <w:spacing w:after="0" w:line="360" w:lineRule="atLeast"/>
        <w:jc w:val="both"/>
        <w:rPr>
          <w:rFonts w:eastAsia="Times New Roman"/>
          <w:color w:val="000000"/>
          <w:sz w:val="24"/>
          <w:szCs w:val="24"/>
        </w:rPr>
      </w:pPr>
    </w:p>
    <w:p w14:paraId="5E25F168" w14:textId="77777777" w:rsidR="00D1587E" w:rsidRPr="00AB0F88" w:rsidRDefault="00D1587E" w:rsidP="00D1587E">
      <w:pPr>
        <w:shd w:val="clear" w:color="auto" w:fill="FFFFFF"/>
        <w:spacing w:after="0" w:line="360" w:lineRule="atLeast"/>
        <w:jc w:val="both"/>
        <w:rPr>
          <w:rFonts w:eastAsia="Times New Roman" w:cs="Tahoma"/>
          <w:color w:val="000000"/>
          <w:sz w:val="24"/>
          <w:szCs w:val="24"/>
          <w:bdr w:val="none" w:sz="0" w:space="0" w:color="auto" w:frame="1"/>
          <w:shd w:val="clear" w:color="auto" w:fill="FFFFFF"/>
        </w:rPr>
      </w:pPr>
      <w:r w:rsidRPr="00AB0F88">
        <w:rPr>
          <w:rFonts w:eastAsia="Times New Roman" w:cs="Tahoma"/>
          <w:color w:val="000000"/>
          <w:sz w:val="24"/>
          <w:szCs w:val="24"/>
          <w:bdr w:val="none" w:sz="0" w:space="0" w:color="auto" w:frame="1"/>
        </w:rPr>
        <w:t xml:space="preserve">It is further clarified that </w:t>
      </w:r>
      <w:proofErr w:type="gramStart"/>
      <w:r w:rsidRPr="00AB0F88">
        <w:rPr>
          <w:rFonts w:eastAsia="Times New Roman" w:cs="Tahoma"/>
          <w:color w:val="000000"/>
          <w:sz w:val="24"/>
          <w:szCs w:val="24"/>
          <w:bdr w:val="none" w:sz="0" w:space="0" w:color="auto" w:frame="1"/>
        </w:rPr>
        <w:t>minimum</w:t>
      </w:r>
      <w:proofErr w:type="gramEnd"/>
      <w:r w:rsidRPr="00AB0F88">
        <w:rPr>
          <w:rFonts w:eastAsia="Times New Roman" w:cs="Tahoma"/>
          <w:color w:val="000000"/>
          <w:sz w:val="24"/>
          <w:szCs w:val="24"/>
          <w:bdr w:val="none" w:sz="0" w:space="0" w:color="auto" w:frame="1"/>
        </w:rPr>
        <w:t xml:space="preserve"> fee for a CPE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as mentioned above, shall be charged even if the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is sponsored as per CPE guidelines. The </w:t>
      </w:r>
      <w:r w:rsidRPr="00AB0F88">
        <w:rPr>
          <w:rFonts w:eastAsia="Times New Roman" w:cs="Tahoma"/>
          <w:color w:val="000000"/>
          <w:sz w:val="24"/>
          <w:szCs w:val="24"/>
          <w:bdr w:val="none" w:sz="0" w:space="0" w:color="auto" w:frame="1"/>
          <w:shd w:val="clear" w:color="auto" w:fill="FFFFFF"/>
        </w:rPr>
        <w:t xml:space="preserve">CPE Study Circles/Chapters are not allowed to take sponsorship in their </w:t>
      </w:r>
      <w:proofErr w:type="spellStart"/>
      <w:proofErr w:type="gramStart"/>
      <w:r w:rsidRPr="00AB0F88">
        <w:rPr>
          <w:rFonts w:eastAsia="Times New Roman" w:cs="Tahoma"/>
          <w:color w:val="000000"/>
          <w:sz w:val="24"/>
          <w:szCs w:val="24"/>
          <w:bdr w:val="none" w:sz="0" w:space="0" w:color="auto" w:frame="1"/>
          <w:shd w:val="clear" w:color="auto" w:fill="FFFFFF"/>
        </w:rPr>
        <w:t>programmes</w:t>
      </w:r>
      <w:proofErr w:type="spellEnd"/>
      <w:proofErr w:type="gramEnd"/>
      <w:r w:rsidRPr="00AB0F88">
        <w:rPr>
          <w:rFonts w:eastAsia="Times New Roman" w:cs="Tahoma"/>
          <w:color w:val="000000"/>
          <w:sz w:val="24"/>
          <w:szCs w:val="24"/>
          <w:bdr w:val="none" w:sz="0" w:space="0" w:color="auto" w:frame="1"/>
          <w:shd w:val="clear" w:color="auto" w:fill="FFFFFF"/>
        </w:rPr>
        <w:t xml:space="preserve"> and it is further clarified that sponsorship in any form/name (e.g. for lunch, arrangement of venue, supply of study materials, etc.) should not be taken by CPE Study Circles/Chapters in their </w:t>
      </w:r>
      <w:proofErr w:type="spellStart"/>
      <w:r w:rsidRPr="00AB0F88">
        <w:rPr>
          <w:rFonts w:eastAsia="Times New Roman" w:cs="Tahoma"/>
          <w:color w:val="000000"/>
          <w:sz w:val="24"/>
          <w:szCs w:val="24"/>
          <w:bdr w:val="none" w:sz="0" w:space="0" w:color="auto" w:frame="1"/>
          <w:shd w:val="clear" w:color="auto" w:fill="FFFFFF"/>
        </w:rPr>
        <w:t>programmes</w:t>
      </w:r>
      <w:proofErr w:type="spellEnd"/>
      <w:r w:rsidRPr="00AB0F88">
        <w:rPr>
          <w:rFonts w:eastAsia="Times New Roman" w:cs="Tahoma"/>
          <w:color w:val="000000"/>
          <w:sz w:val="24"/>
          <w:szCs w:val="24"/>
          <w:bdr w:val="none" w:sz="0" w:space="0" w:color="auto" w:frame="1"/>
          <w:shd w:val="clear" w:color="auto" w:fill="FFFFFF"/>
        </w:rPr>
        <w:t xml:space="preserve"> and the auditor shall provide the certificate to this effect. </w:t>
      </w:r>
    </w:p>
    <w:p w14:paraId="70AB041C" w14:textId="77777777" w:rsidR="00D1587E" w:rsidRPr="00AB0F88" w:rsidRDefault="00D1587E" w:rsidP="00D1587E">
      <w:pPr>
        <w:shd w:val="clear" w:color="auto" w:fill="FFFFFF"/>
        <w:spacing w:after="0" w:line="360" w:lineRule="atLeast"/>
        <w:jc w:val="both"/>
        <w:rPr>
          <w:rFonts w:eastAsia="Times New Roman"/>
          <w:color w:val="000000"/>
          <w:sz w:val="24"/>
          <w:szCs w:val="24"/>
        </w:rPr>
      </w:pPr>
    </w:p>
    <w:p w14:paraId="6BC9A480" w14:textId="77777777" w:rsidR="00D1587E" w:rsidRPr="00AB0F88" w:rsidRDefault="00D1587E" w:rsidP="00D1587E">
      <w:pPr>
        <w:shd w:val="clear" w:color="auto" w:fill="FFFFFF"/>
        <w:spacing w:after="0" w:line="240" w:lineRule="auto"/>
        <w:jc w:val="both"/>
        <w:rPr>
          <w:rFonts w:eastAsia="Times New Roman"/>
          <w:color w:val="000000"/>
          <w:sz w:val="24"/>
          <w:szCs w:val="24"/>
        </w:rPr>
      </w:pPr>
      <w:r w:rsidRPr="00AB0F88">
        <w:rPr>
          <w:rFonts w:eastAsia="Times New Roman" w:cs="Tahoma"/>
          <w:b/>
          <w:bCs/>
          <w:color w:val="000000"/>
          <w:sz w:val="24"/>
          <w:szCs w:val="24"/>
          <w:bdr w:val="none" w:sz="0" w:space="0" w:color="auto" w:frame="1"/>
        </w:rPr>
        <w:t>Exceptions to the above guidelines: </w:t>
      </w:r>
    </w:p>
    <w:p w14:paraId="31B8A5EE" w14:textId="77777777" w:rsidR="00D1587E" w:rsidRPr="00AB0F88" w:rsidRDefault="00D1587E" w:rsidP="00D1587E">
      <w:pPr>
        <w:numPr>
          <w:ilvl w:val="0"/>
          <w:numId w:val="15"/>
        </w:numPr>
        <w:shd w:val="clear" w:color="auto" w:fill="FFFFFF"/>
        <w:spacing w:before="100" w:beforeAutospacing="1" w:after="100" w:afterAutospacing="1" w:line="240" w:lineRule="auto"/>
        <w:jc w:val="both"/>
        <w:rPr>
          <w:rFonts w:eastAsia="Times New Roman"/>
          <w:color w:val="000000"/>
          <w:sz w:val="24"/>
          <w:szCs w:val="24"/>
        </w:rPr>
      </w:pPr>
      <w:r w:rsidRPr="00AB0F88">
        <w:rPr>
          <w:rFonts w:eastAsia="Times New Roman" w:cs="Tahoma"/>
          <w:color w:val="000000"/>
          <w:sz w:val="24"/>
          <w:szCs w:val="24"/>
          <w:bdr w:val="none" w:sz="0" w:space="0" w:color="auto" w:frame="1"/>
        </w:rPr>
        <w:t xml:space="preserve">Annual members of any of the CPE POUs (Regional Councils/Branches/Study Circles/Study Circles for Members in Industry#/Study Chapters), who have paid annual membership fees, shall be deemed to have complied with </w:t>
      </w:r>
      <w:proofErr w:type="gramStart"/>
      <w:r w:rsidRPr="00AB0F88">
        <w:rPr>
          <w:rFonts w:eastAsia="Times New Roman" w:cs="Tahoma"/>
          <w:color w:val="000000"/>
          <w:sz w:val="24"/>
          <w:szCs w:val="24"/>
          <w:bdr w:val="none" w:sz="0" w:space="0" w:color="auto" w:frame="1"/>
        </w:rPr>
        <w:t>above</w:t>
      </w:r>
      <w:proofErr w:type="gramEnd"/>
      <w:r w:rsidRPr="00AB0F88">
        <w:rPr>
          <w:rFonts w:eastAsia="Times New Roman" w:cs="Tahoma"/>
          <w:color w:val="000000"/>
          <w:sz w:val="24"/>
          <w:szCs w:val="24"/>
          <w:bdr w:val="none" w:sz="0" w:space="0" w:color="auto" w:frame="1"/>
        </w:rPr>
        <w:t xml:space="preserve"> guidelines. However annual membership fees to be charged by CPE POUs </w:t>
      </w:r>
      <w:proofErr w:type="gramStart"/>
      <w:r w:rsidRPr="00AB0F88">
        <w:rPr>
          <w:rFonts w:eastAsia="Times New Roman" w:cs="Tahoma"/>
          <w:color w:val="000000"/>
          <w:sz w:val="24"/>
          <w:szCs w:val="24"/>
          <w:bdr w:val="none" w:sz="0" w:space="0" w:color="auto" w:frame="1"/>
        </w:rPr>
        <w:t>should</w:t>
      </w:r>
      <w:proofErr w:type="gramEnd"/>
      <w:r w:rsidRPr="00AB0F88">
        <w:rPr>
          <w:rFonts w:eastAsia="Times New Roman" w:cs="Tahoma"/>
          <w:color w:val="000000"/>
          <w:sz w:val="24"/>
          <w:szCs w:val="24"/>
          <w:bdr w:val="none" w:sz="0" w:space="0" w:color="auto" w:frame="1"/>
        </w:rPr>
        <w:t xml:space="preserve"> commensurate with the above guidelines with regards to </w:t>
      </w:r>
      <w:proofErr w:type="gramStart"/>
      <w:r w:rsidRPr="00AB0F88">
        <w:rPr>
          <w:rFonts w:eastAsia="Times New Roman" w:cs="Tahoma"/>
          <w:color w:val="000000"/>
          <w:sz w:val="24"/>
          <w:szCs w:val="24"/>
          <w:bdr w:val="none" w:sz="0" w:space="0" w:color="auto" w:frame="1"/>
        </w:rPr>
        <w:t>fee</w:t>
      </w:r>
      <w:proofErr w:type="gramEnd"/>
      <w:r w:rsidRPr="00AB0F88">
        <w:rPr>
          <w:rFonts w:eastAsia="Times New Roman" w:cs="Tahoma"/>
          <w:color w:val="000000"/>
          <w:sz w:val="24"/>
          <w:szCs w:val="24"/>
          <w:bdr w:val="none" w:sz="0" w:space="0" w:color="auto" w:frame="1"/>
        </w:rPr>
        <w:t xml:space="preserve"> for CPE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on hourly basi</w:t>
      </w:r>
      <w:r w:rsidR="00D512F9" w:rsidRPr="00AB0F88">
        <w:rPr>
          <w:rFonts w:eastAsia="Times New Roman" w:cs="Tahoma"/>
          <w:color w:val="000000"/>
          <w:sz w:val="24"/>
          <w:szCs w:val="24"/>
          <w:bdr w:val="none" w:sz="0" w:space="0" w:color="auto" w:frame="1"/>
        </w:rPr>
        <w:t>s.</w:t>
      </w:r>
    </w:p>
    <w:p w14:paraId="13C276CD" w14:textId="77777777" w:rsidR="00D1587E" w:rsidRPr="00AB0F88" w:rsidRDefault="00D1587E" w:rsidP="00D1587E">
      <w:pPr>
        <w:numPr>
          <w:ilvl w:val="0"/>
          <w:numId w:val="15"/>
        </w:numPr>
        <w:shd w:val="clear" w:color="auto" w:fill="FFFFFF"/>
        <w:spacing w:beforeAutospacing="1" w:after="0" w:afterAutospacing="1" w:line="240" w:lineRule="auto"/>
        <w:jc w:val="both"/>
        <w:rPr>
          <w:rFonts w:eastAsia="Times New Roman" w:cs="Tahoma"/>
          <w:color w:val="000000"/>
          <w:sz w:val="24"/>
          <w:szCs w:val="24"/>
        </w:rPr>
      </w:pPr>
      <w:r w:rsidRPr="00AB0F88">
        <w:rPr>
          <w:rFonts w:eastAsia="Times New Roman" w:cs="Tahoma"/>
          <w:color w:val="000000"/>
          <w:sz w:val="24"/>
          <w:szCs w:val="24"/>
          <w:bdr w:val="none" w:sz="0" w:space="0" w:color="auto" w:frame="1"/>
        </w:rPr>
        <w:t xml:space="preserve">Any CPE </w:t>
      </w:r>
      <w:proofErr w:type="spellStart"/>
      <w:proofErr w:type="gram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if</w:t>
      </w:r>
      <w:proofErr w:type="gramEnd"/>
      <w:r w:rsidRPr="00AB0F88">
        <w:rPr>
          <w:rFonts w:eastAsia="Times New Roman" w:cs="Tahoma"/>
          <w:color w:val="000000"/>
          <w:sz w:val="24"/>
          <w:szCs w:val="24"/>
          <w:bdr w:val="none" w:sz="0" w:space="0" w:color="auto" w:frame="1"/>
        </w:rPr>
        <w:t xml:space="preserve"> being organized on the direction of Ministries/Govt, etc. (</w:t>
      </w:r>
      <w:proofErr w:type="gramStart"/>
      <w:r w:rsidRPr="00AB0F88">
        <w:rPr>
          <w:rFonts w:eastAsia="Times New Roman" w:cs="Tahoma"/>
          <w:color w:val="000000"/>
          <w:sz w:val="24"/>
          <w:szCs w:val="24"/>
          <w:bdr w:val="none" w:sz="0" w:space="0" w:color="auto" w:frame="1"/>
        </w:rPr>
        <w:t>e.g.</w:t>
      </w:r>
      <w:proofErr w:type="gramEnd"/>
      <w:r w:rsidRPr="00AB0F88">
        <w:rPr>
          <w:rFonts w:eastAsia="Times New Roman" w:cs="Tahoma"/>
          <w:color w:val="000000"/>
          <w:sz w:val="24"/>
          <w:szCs w:val="24"/>
          <w:bdr w:val="none" w:sz="0" w:space="0" w:color="auto" w:frame="1"/>
        </w:rPr>
        <w:t xml:space="preserve"> on Ease of doing Business, CSR awards, etc.) </w:t>
      </w:r>
    </w:p>
    <w:p w14:paraId="26545A0F" w14:textId="77777777" w:rsidR="00D1587E" w:rsidRPr="00AB0F88" w:rsidRDefault="00D1587E" w:rsidP="00D1587E">
      <w:pPr>
        <w:numPr>
          <w:ilvl w:val="0"/>
          <w:numId w:val="15"/>
        </w:numPr>
        <w:shd w:val="clear" w:color="auto" w:fill="FFFFFF"/>
        <w:spacing w:beforeAutospacing="1" w:after="0" w:afterAutospacing="1" w:line="240" w:lineRule="auto"/>
        <w:jc w:val="both"/>
        <w:rPr>
          <w:rFonts w:eastAsia="Times New Roman" w:cs="Tahoma"/>
          <w:color w:val="000000"/>
          <w:sz w:val="24"/>
          <w:szCs w:val="24"/>
        </w:rPr>
      </w:pPr>
      <w:r w:rsidRPr="00AB0F88">
        <w:rPr>
          <w:rFonts w:eastAsia="Times New Roman" w:cs="Tahoma"/>
          <w:color w:val="000000"/>
          <w:sz w:val="24"/>
          <w:szCs w:val="24"/>
          <w:bdr w:val="none" w:sz="0" w:space="0" w:color="auto" w:frame="1"/>
        </w:rPr>
        <w:t xml:space="preserve">Any special CPE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for which grant is receivable from Ministries, Govt., etc. (</w:t>
      </w:r>
      <w:proofErr w:type="gramStart"/>
      <w:r w:rsidRPr="00AB0F88">
        <w:rPr>
          <w:rFonts w:eastAsia="Times New Roman" w:cs="Tahoma"/>
          <w:color w:val="000000"/>
          <w:sz w:val="24"/>
          <w:szCs w:val="24"/>
          <w:bdr w:val="none" w:sz="0" w:space="0" w:color="auto" w:frame="1"/>
        </w:rPr>
        <w:t>e.g.</w:t>
      </w:r>
      <w:proofErr w:type="gramEnd"/>
      <w:r w:rsidRPr="00AB0F88">
        <w:rPr>
          <w:rFonts w:eastAsia="Times New Roman" w:cs="Tahoma"/>
          <w:color w:val="000000"/>
          <w:sz w:val="24"/>
          <w:szCs w:val="24"/>
          <w:bdr w:val="none" w:sz="0" w:space="0" w:color="auto" w:frame="1"/>
        </w:rPr>
        <w:t xml:space="preserve"> Investor Awareness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w:t>
      </w:r>
    </w:p>
    <w:p w14:paraId="0D0FC526" w14:textId="77777777" w:rsidR="00D1587E" w:rsidRPr="00AB0F88" w:rsidRDefault="00D1587E" w:rsidP="00D1587E">
      <w:pPr>
        <w:numPr>
          <w:ilvl w:val="0"/>
          <w:numId w:val="15"/>
        </w:numPr>
        <w:shd w:val="clear" w:color="auto" w:fill="FFFFFF"/>
        <w:spacing w:beforeAutospacing="1" w:after="0" w:afterAutospacing="1" w:line="240" w:lineRule="auto"/>
        <w:jc w:val="both"/>
        <w:rPr>
          <w:rFonts w:eastAsia="Times New Roman" w:cs="Tahoma"/>
          <w:color w:val="000000"/>
          <w:sz w:val="24"/>
          <w:szCs w:val="24"/>
        </w:rPr>
      </w:pPr>
      <w:r w:rsidRPr="00AB0F88">
        <w:rPr>
          <w:rFonts w:eastAsia="Times New Roman" w:cs="Tahoma"/>
          <w:color w:val="000000"/>
          <w:sz w:val="24"/>
          <w:szCs w:val="24"/>
          <w:bdr w:val="none" w:sz="0" w:space="0" w:color="auto" w:frame="1"/>
        </w:rPr>
        <w:lastRenderedPageBreak/>
        <w:t xml:space="preserve">CPE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on </w:t>
      </w:r>
      <w:proofErr w:type="gramStart"/>
      <w:r w:rsidRPr="00AB0F88">
        <w:rPr>
          <w:rFonts w:eastAsia="Times New Roman" w:cs="Tahoma"/>
          <w:color w:val="000000"/>
          <w:sz w:val="24"/>
          <w:szCs w:val="24"/>
          <w:bdr w:val="none" w:sz="0" w:space="0" w:color="auto" w:frame="1"/>
        </w:rPr>
        <w:t>CA day</w:t>
      </w:r>
      <w:proofErr w:type="gramEnd"/>
      <w:r w:rsidRPr="00AB0F88">
        <w:rPr>
          <w:rFonts w:eastAsia="Times New Roman" w:cs="Tahoma"/>
          <w:color w:val="000000"/>
          <w:sz w:val="24"/>
          <w:szCs w:val="24"/>
          <w:bdr w:val="none" w:sz="0" w:space="0" w:color="auto" w:frame="1"/>
        </w:rPr>
        <w:t xml:space="preserve"> and Yoga day </w:t>
      </w:r>
      <w:proofErr w:type="spellStart"/>
      <w:r w:rsidRPr="00AB0F88">
        <w:rPr>
          <w:rFonts w:eastAsia="Times New Roman" w:cs="Tahoma"/>
          <w:color w:val="000000"/>
          <w:sz w:val="24"/>
          <w:szCs w:val="24"/>
          <w:bdr w:val="none" w:sz="0" w:space="0" w:color="auto" w:frame="1"/>
        </w:rPr>
        <w:t>organised</w:t>
      </w:r>
      <w:proofErr w:type="spellEnd"/>
      <w:r w:rsidRPr="00AB0F88">
        <w:rPr>
          <w:rFonts w:eastAsia="Times New Roman" w:cs="Tahoma"/>
          <w:color w:val="000000"/>
          <w:sz w:val="24"/>
          <w:szCs w:val="24"/>
          <w:bdr w:val="none" w:sz="0" w:space="0" w:color="auto" w:frame="1"/>
        </w:rPr>
        <w:t xml:space="preserve"> by any CPE POU and Annual Day of ICAI at Head Office level </w:t>
      </w:r>
    </w:p>
    <w:p w14:paraId="310AF229" w14:textId="77777777" w:rsidR="00D1587E" w:rsidRPr="00AB0F88" w:rsidRDefault="00D1587E" w:rsidP="00D1587E">
      <w:pPr>
        <w:numPr>
          <w:ilvl w:val="0"/>
          <w:numId w:val="15"/>
        </w:numPr>
        <w:shd w:val="clear" w:color="auto" w:fill="FFFFFF"/>
        <w:spacing w:beforeAutospacing="1" w:after="0" w:afterAutospacing="1" w:line="240" w:lineRule="auto"/>
        <w:jc w:val="both"/>
        <w:rPr>
          <w:rFonts w:eastAsia="Times New Roman" w:cs="Tahoma"/>
          <w:color w:val="000000"/>
          <w:sz w:val="24"/>
          <w:szCs w:val="24"/>
        </w:rPr>
      </w:pPr>
      <w:r w:rsidRPr="00AB0F88">
        <w:rPr>
          <w:rFonts w:eastAsia="Times New Roman" w:cs="Tahoma"/>
          <w:color w:val="000000"/>
          <w:sz w:val="24"/>
          <w:szCs w:val="24"/>
          <w:bdr w:val="none" w:sz="0" w:space="0" w:color="auto" w:frame="1"/>
        </w:rPr>
        <w:t xml:space="preserve">CPE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organized by Foreign Chapters of ICAI if there is an MOU with Local Authorities/Govt. of that foreign country to allow members from that country without charging </w:t>
      </w:r>
      <w:proofErr w:type="gramStart"/>
      <w:r w:rsidRPr="00AB0F88">
        <w:rPr>
          <w:rFonts w:eastAsia="Times New Roman" w:cs="Tahoma"/>
          <w:color w:val="000000"/>
          <w:sz w:val="24"/>
          <w:szCs w:val="24"/>
          <w:bdr w:val="none" w:sz="0" w:space="0" w:color="auto" w:frame="1"/>
        </w:rPr>
        <w:t>of</w:t>
      </w:r>
      <w:proofErr w:type="gramEnd"/>
      <w:r w:rsidRPr="00AB0F88">
        <w:rPr>
          <w:rFonts w:eastAsia="Times New Roman" w:cs="Tahoma"/>
          <w:color w:val="000000"/>
          <w:sz w:val="24"/>
          <w:szCs w:val="24"/>
          <w:bdr w:val="none" w:sz="0" w:space="0" w:color="auto" w:frame="1"/>
        </w:rPr>
        <w:t xml:space="preserve"> fee. </w:t>
      </w:r>
    </w:p>
    <w:p w14:paraId="0BF8E0F2" w14:textId="77777777" w:rsidR="00D1587E" w:rsidRPr="00AB0F88" w:rsidRDefault="00D1587E" w:rsidP="00D1587E">
      <w:pPr>
        <w:numPr>
          <w:ilvl w:val="0"/>
          <w:numId w:val="15"/>
        </w:numPr>
        <w:shd w:val="clear" w:color="auto" w:fill="FFFFFF"/>
        <w:spacing w:beforeAutospacing="1" w:after="0" w:afterAutospacing="1" w:line="240" w:lineRule="auto"/>
        <w:jc w:val="both"/>
        <w:rPr>
          <w:rFonts w:eastAsia="Times New Roman" w:cs="Tahoma"/>
          <w:color w:val="000000"/>
          <w:sz w:val="24"/>
          <w:szCs w:val="24"/>
        </w:rPr>
      </w:pPr>
      <w:r w:rsidRPr="00AB0F88">
        <w:rPr>
          <w:rFonts w:eastAsia="Times New Roman" w:cs="Tahoma"/>
          <w:color w:val="000000"/>
          <w:sz w:val="24"/>
          <w:szCs w:val="24"/>
          <w:bdr w:val="none" w:sz="0" w:space="0" w:color="auto" w:frame="1"/>
        </w:rPr>
        <w:t>Memorial lectures being organized by Regional Councils of ICAI (</w:t>
      </w:r>
      <w:proofErr w:type="gramStart"/>
      <w:r w:rsidRPr="00AB0F88">
        <w:rPr>
          <w:rFonts w:eastAsia="Times New Roman" w:cs="Tahoma"/>
          <w:color w:val="000000"/>
          <w:sz w:val="24"/>
          <w:szCs w:val="24"/>
          <w:bdr w:val="none" w:sz="0" w:space="0" w:color="auto" w:frame="1"/>
        </w:rPr>
        <w:t>e.g.</w:t>
      </w:r>
      <w:proofErr w:type="gramEnd"/>
      <w:r w:rsidRPr="00AB0F88">
        <w:rPr>
          <w:rFonts w:eastAsia="Times New Roman" w:cs="Tahoma"/>
          <w:color w:val="000000"/>
          <w:sz w:val="24"/>
          <w:szCs w:val="24"/>
          <w:bdr w:val="none" w:sz="0" w:space="0" w:color="auto" w:frame="1"/>
        </w:rPr>
        <w:t xml:space="preserve"> Vaidyanath Memorial lecture, etc.) </w:t>
      </w:r>
    </w:p>
    <w:p w14:paraId="65DA536B" w14:textId="77777777" w:rsidR="00175991" w:rsidRPr="00175991" w:rsidRDefault="00D1587E" w:rsidP="00175991">
      <w:pPr>
        <w:numPr>
          <w:ilvl w:val="0"/>
          <w:numId w:val="15"/>
        </w:numPr>
        <w:shd w:val="clear" w:color="auto" w:fill="FFFFFF"/>
        <w:spacing w:beforeAutospacing="1" w:after="0" w:afterAutospacing="1" w:line="240" w:lineRule="auto"/>
        <w:jc w:val="both"/>
        <w:rPr>
          <w:rFonts w:eastAsia="Times New Roman"/>
          <w:color w:val="000000"/>
          <w:sz w:val="24"/>
          <w:szCs w:val="24"/>
        </w:rPr>
      </w:pPr>
      <w:r w:rsidRPr="00AB0F88">
        <w:rPr>
          <w:rFonts w:eastAsia="Times New Roman" w:cs="Tahoma"/>
          <w:color w:val="000000"/>
          <w:sz w:val="24"/>
          <w:szCs w:val="24"/>
          <w:bdr w:val="none" w:sz="0" w:space="0" w:color="auto" w:frame="1"/>
        </w:rPr>
        <w:t xml:space="preserve">Any other CPE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with the prior approval of Chairman,</w:t>
      </w:r>
      <w:r w:rsidR="00D512F9" w:rsidRPr="00AB0F88">
        <w:rPr>
          <w:rFonts w:eastAsia="Times New Roman" w:cs="Tahoma"/>
          <w:color w:val="000000"/>
          <w:sz w:val="24"/>
          <w:szCs w:val="24"/>
          <w:bdr w:val="none" w:sz="0" w:space="0" w:color="auto" w:frame="1"/>
        </w:rPr>
        <w:t xml:space="preserve"> </w:t>
      </w:r>
      <w:r w:rsidRPr="00AB0F88">
        <w:rPr>
          <w:rFonts w:eastAsia="Times New Roman" w:cs="Tahoma"/>
          <w:color w:val="000000"/>
          <w:sz w:val="24"/>
          <w:szCs w:val="24"/>
          <w:bdr w:val="none" w:sz="0" w:space="0" w:color="auto" w:frame="1"/>
        </w:rPr>
        <w:t>CPEC/Management Committee/ President of ICAI. </w:t>
      </w:r>
      <w:r w:rsidRPr="00AB0F88">
        <w:rPr>
          <w:rFonts w:eastAsia="Times New Roman"/>
          <w:color w:val="000000"/>
          <w:sz w:val="24"/>
          <w:szCs w:val="24"/>
        </w:rPr>
        <w:br/>
      </w:r>
      <w:r w:rsidRPr="00AB0F88">
        <w:rPr>
          <w:rFonts w:eastAsia="Times New Roman"/>
          <w:color w:val="000000"/>
          <w:sz w:val="24"/>
          <w:szCs w:val="24"/>
        </w:rPr>
        <w:br/>
      </w:r>
      <w:r w:rsidRPr="00AB0F88">
        <w:rPr>
          <w:rFonts w:eastAsia="Times New Roman" w:cs="Tahoma"/>
          <w:color w:val="000000"/>
          <w:sz w:val="24"/>
          <w:szCs w:val="24"/>
          <w:bdr w:val="none" w:sz="0" w:space="0" w:color="auto" w:frame="1"/>
        </w:rPr>
        <w:t xml:space="preserve"># CPE Study Circles for Members in Industry (CMI&amp;B CPE Study Circles) may organize CPE </w:t>
      </w:r>
      <w:proofErr w:type="spellStart"/>
      <w:r w:rsidRPr="00AB0F88">
        <w:rPr>
          <w:rFonts w:eastAsia="Times New Roman" w:cs="Tahoma"/>
          <w:color w:val="000000"/>
          <w:sz w:val="24"/>
          <w:szCs w:val="24"/>
          <w:bdr w:val="none" w:sz="0" w:space="0" w:color="auto" w:frame="1"/>
        </w:rPr>
        <w:t>Programmes</w:t>
      </w:r>
      <w:proofErr w:type="spellEnd"/>
      <w:r w:rsidRPr="00AB0F88">
        <w:rPr>
          <w:rFonts w:eastAsia="Times New Roman" w:cs="Tahoma"/>
          <w:color w:val="000000"/>
          <w:sz w:val="24"/>
          <w:szCs w:val="24"/>
          <w:bdr w:val="none" w:sz="0" w:space="0" w:color="auto" w:frame="1"/>
        </w:rPr>
        <w:t xml:space="preserve"> without charging </w:t>
      </w:r>
      <w:proofErr w:type="gramStart"/>
      <w:r w:rsidRPr="00AB0F88">
        <w:rPr>
          <w:rFonts w:eastAsia="Times New Roman" w:cs="Tahoma"/>
          <w:color w:val="000000"/>
          <w:sz w:val="24"/>
          <w:szCs w:val="24"/>
          <w:bdr w:val="none" w:sz="0" w:space="0" w:color="auto" w:frame="1"/>
        </w:rPr>
        <w:t>of</w:t>
      </w:r>
      <w:proofErr w:type="gramEnd"/>
      <w:r w:rsidRPr="00AB0F88">
        <w:rPr>
          <w:rFonts w:eastAsia="Times New Roman" w:cs="Tahoma"/>
          <w:color w:val="000000"/>
          <w:sz w:val="24"/>
          <w:szCs w:val="24"/>
          <w:bdr w:val="none" w:sz="0" w:space="0" w:color="auto" w:frame="1"/>
        </w:rPr>
        <w:t xml:space="preserve"> </w:t>
      </w:r>
      <w:proofErr w:type="spellStart"/>
      <w:r w:rsidRPr="00AB0F88">
        <w:rPr>
          <w:rFonts w:eastAsia="Times New Roman" w:cs="Tahoma"/>
          <w:color w:val="000000"/>
          <w:sz w:val="24"/>
          <w:szCs w:val="24"/>
          <w:bdr w:val="none" w:sz="0" w:space="0" w:color="auto" w:frame="1"/>
        </w:rPr>
        <w:t>programme</w:t>
      </w:r>
      <w:proofErr w:type="spellEnd"/>
      <w:r w:rsidRPr="00AB0F88">
        <w:rPr>
          <w:rFonts w:eastAsia="Times New Roman" w:cs="Tahoma"/>
          <w:color w:val="000000"/>
          <w:sz w:val="24"/>
          <w:szCs w:val="24"/>
          <w:bdr w:val="none" w:sz="0" w:space="0" w:color="auto" w:frame="1"/>
        </w:rPr>
        <w:t xml:space="preserve"> fee and annual membership fee from its members, if all the expenses are borne by the Company itself. </w:t>
      </w:r>
      <w:r w:rsidR="00175991">
        <w:rPr>
          <w:rFonts w:eastAsia="Times New Roman"/>
          <w:color w:val="000000"/>
          <w:sz w:val="24"/>
          <w:szCs w:val="24"/>
        </w:rPr>
        <w:br/>
      </w:r>
    </w:p>
    <w:p w14:paraId="03BF0FDC" w14:textId="77777777" w:rsidR="00F24FE7" w:rsidRPr="00AB0F88" w:rsidRDefault="00F24FE7" w:rsidP="002C2A7B">
      <w:pPr>
        <w:pStyle w:val="ListParagraph"/>
        <w:numPr>
          <w:ilvl w:val="0"/>
          <w:numId w:val="14"/>
        </w:numPr>
        <w:jc w:val="both"/>
        <w:rPr>
          <w:rFonts w:cs="Tahoma"/>
          <w:b/>
          <w:color w:val="000000"/>
          <w:sz w:val="24"/>
          <w:szCs w:val="24"/>
          <w:u w:val="single"/>
          <w:shd w:val="clear" w:color="auto" w:fill="FFFFFF"/>
        </w:rPr>
      </w:pPr>
      <w:r w:rsidRPr="00AB0F88">
        <w:rPr>
          <w:rFonts w:cs="Tahoma"/>
          <w:b/>
          <w:color w:val="000000"/>
          <w:sz w:val="24"/>
          <w:szCs w:val="24"/>
          <w:u w:val="single"/>
          <w:shd w:val="clear" w:color="auto" w:fill="FFFFFF"/>
        </w:rPr>
        <w:t xml:space="preserve">Clarification for allowing Non-members in the CPE </w:t>
      </w:r>
      <w:proofErr w:type="spellStart"/>
      <w:r w:rsidRPr="00AB0F88">
        <w:rPr>
          <w:rFonts w:cs="Tahoma"/>
          <w:b/>
          <w:color w:val="000000"/>
          <w:sz w:val="24"/>
          <w:szCs w:val="24"/>
          <w:u w:val="single"/>
          <w:shd w:val="clear" w:color="auto" w:fill="FFFFFF"/>
        </w:rPr>
        <w:t>Programmes</w:t>
      </w:r>
      <w:proofErr w:type="spellEnd"/>
    </w:p>
    <w:p w14:paraId="53D0122F" w14:textId="77777777" w:rsidR="00F24FE7" w:rsidRPr="00AB0F88" w:rsidRDefault="00F24FE7" w:rsidP="00F24FE7">
      <w:pPr>
        <w:pStyle w:val="ListParagraph"/>
        <w:rPr>
          <w:rFonts w:cs="Tahoma"/>
          <w:color w:val="000000"/>
          <w:sz w:val="24"/>
          <w:szCs w:val="24"/>
          <w:shd w:val="clear" w:color="auto" w:fill="FFFFFF"/>
        </w:rPr>
      </w:pPr>
    </w:p>
    <w:p w14:paraId="705675CE" w14:textId="77777777" w:rsidR="00F24FE7" w:rsidRPr="00AB0F88" w:rsidRDefault="00F24FE7" w:rsidP="00F24FE7">
      <w:pPr>
        <w:pStyle w:val="ListParagraph"/>
        <w:jc w:val="both"/>
        <w:rPr>
          <w:rFonts w:cs="Tahoma"/>
          <w:b/>
          <w:color w:val="000000"/>
          <w:sz w:val="24"/>
          <w:szCs w:val="24"/>
          <w:shd w:val="clear" w:color="auto" w:fill="FFFFFF"/>
        </w:rPr>
      </w:pPr>
      <w:r w:rsidRPr="00AB0F88">
        <w:rPr>
          <w:rFonts w:cs="Tahoma"/>
          <w:color w:val="000000"/>
          <w:sz w:val="24"/>
          <w:szCs w:val="24"/>
          <w:shd w:val="clear" w:color="auto" w:fill="FFFFFF"/>
        </w:rPr>
        <w:t>The Council at its 388</w:t>
      </w:r>
      <w:r w:rsidRPr="00AB0F88">
        <w:rPr>
          <w:rFonts w:cs="Tahoma"/>
          <w:color w:val="000000"/>
          <w:sz w:val="24"/>
          <w:szCs w:val="24"/>
          <w:shd w:val="clear" w:color="auto" w:fill="FFFFFF"/>
          <w:vertAlign w:val="superscript"/>
        </w:rPr>
        <w:t>th</w:t>
      </w:r>
      <w:r w:rsidRPr="00AB0F88">
        <w:rPr>
          <w:rFonts w:cs="Tahoma"/>
          <w:color w:val="000000"/>
          <w:sz w:val="24"/>
          <w:szCs w:val="24"/>
          <w:shd w:val="clear" w:color="auto" w:fill="FFFFFF"/>
        </w:rPr>
        <w:t xml:space="preserve"> meeting held on 6</w:t>
      </w:r>
      <w:r w:rsidRPr="00AB0F88">
        <w:rPr>
          <w:rFonts w:cs="Tahoma"/>
          <w:color w:val="000000"/>
          <w:sz w:val="24"/>
          <w:szCs w:val="24"/>
          <w:shd w:val="clear" w:color="auto" w:fill="FFFFFF"/>
          <w:vertAlign w:val="superscript"/>
        </w:rPr>
        <w:t>th</w:t>
      </w:r>
      <w:r w:rsidRPr="00AB0F88">
        <w:rPr>
          <w:rFonts w:cs="Tahoma"/>
          <w:color w:val="000000"/>
          <w:sz w:val="24"/>
          <w:szCs w:val="24"/>
          <w:shd w:val="clear" w:color="auto" w:fill="FFFFFF"/>
        </w:rPr>
        <w:t>-7</w:t>
      </w:r>
      <w:r w:rsidRPr="00AB0F88">
        <w:rPr>
          <w:rFonts w:cs="Tahoma"/>
          <w:color w:val="000000"/>
          <w:sz w:val="24"/>
          <w:szCs w:val="24"/>
          <w:shd w:val="clear" w:color="auto" w:fill="FFFFFF"/>
          <w:vertAlign w:val="superscript"/>
        </w:rPr>
        <w:t>th</w:t>
      </w:r>
      <w:r w:rsidRPr="00AB0F88">
        <w:rPr>
          <w:rFonts w:cs="Tahoma"/>
          <w:color w:val="000000"/>
          <w:sz w:val="24"/>
          <w:szCs w:val="24"/>
          <w:shd w:val="clear" w:color="auto" w:fill="FFFFFF"/>
        </w:rPr>
        <w:t xml:space="preserve"> February, 2020 considered the matter regarding</w:t>
      </w:r>
      <w:r w:rsidRPr="00AB0F88">
        <w:rPr>
          <w:rFonts w:cs="Tahoma"/>
          <w:b/>
          <w:color w:val="000000"/>
          <w:sz w:val="24"/>
          <w:szCs w:val="24"/>
          <w:shd w:val="clear" w:color="auto" w:fill="FFFFFF"/>
        </w:rPr>
        <w:t xml:space="preserve"> </w:t>
      </w:r>
      <w:r w:rsidRPr="00AB0F88">
        <w:rPr>
          <w:rFonts w:cs="Tahoma"/>
          <w:color w:val="000000"/>
          <w:sz w:val="24"/>
          <w:szCs w:val="24"/>
          <w:shd w:val="clear" w:color="auto" w:fill="FFFFFF"/>
        </w:rPr>
        <w:t xml:space="preserve">participation of non-members in CPE </w:t>
      </w:r>
      <w:proofErr w:type="spellStart"/>
      <w:r w:rsidRPr="00AB0F88">
        <w:rPr>
          <w:rFonts w:cs="Tahoma"/>
          <w:color w:val="000000"/>
          <w:sz w:val="24"/>
          <w:szCs w:val="24"/>
          <w:shd w:val="clear" w:color="auto" w:fill="FFFFFF"/>
        </w:rPr>
        <w:t>programmes</w:t>
      </w:r>
      <w:proofErr w:type="spellEnd"/>
      <w:r w:rsidRPr="00AB0F88">
        <w:rPr>
          <w:rFonts w:cs="Tahoma"/>
          <w:color w:val="000000"/>
          <w:sz w:val="24"/>
          <w:szCs w:val="24"/>
          <w:shd w:val="clear" w:color="auto" w:fill="FFFFFF"/>
        </w:rPr>
        <w:t xml:space="preserve"> being organized by various CPE POUs and decided as </w:t>
      </w:r>
      <w:proofErr w:type="gramStart"/>
      <w:r w:rsidRPr="00AB0F88">
        <w:rPr>
          <w:rFonts w:cs="Tahoma"/>
          <w:color w:val="000000"/>
          <w:sz w:val="24"/>
          <w:szCs w:val="24"/>
          <w:shd w:val="clear" w:color="auto" w:fill="FFFFFF"/>
        </w:rPr>
        <w:t>under :</w:t>
      </w:r>
      <w:proofErr w:type="gramEnd"/>
      <w:r w:rsidRPr="00AB0F88">
        <w:rPr>
          <w:rFonts w:cs="Tahoma"/>
          <w:color w:val="000000"/>
          <w:sz w:val="24"/>
          <w:szCs w:val="24"/>
          <w:shd w:val="clear" w:color="auto" w:fill="FFFFFF"/>
        </w:rPr>
        <w:t>-</w:t>
      </w:r>
    </w:p>
    <w:p w14:paraId="3FF24CC8" w14:textId="77777777" w:rsidR="00F24FE7" w:rsidRPr="00AB0F88" w:rsidRDefault="00F24FE7" w:rsidP="00F24FE7">
      <w:pPr>
        <w:pStyle w:val="ListParagraph"/>
        <w:jc w:val="both"/>
        <w:rPr>
          <w:rFonts w:cs="Tahoma"/>
          <w:sz w:val="24"/>
          <w:szCs w:val="24"/>
        </w:rPr>
      </w:pPr>
    </w:p>
    <w:p w14:paraId="4D7872B1" w14:textId="77777777" w:rsidR="00FA40BF" w:rsidRPr="00AB0F88" w:rsidRDefault="00F24FE7" w:rsidP="002C2A7B">
      <w:pPr>
        <w:pStyle w:val="ListParagraph"/>
        <w:jc w:val="both"/>
        <w:rPr>
          <w:rFonts w:cs="Tahoma"/>
          <w:i/>
          <w:sz w:val="24"/>
          <w:szCs w:val="24"/>
        </w:rPr>
      </w:pPr>
      <w:r w:rsidRPr="00AB0F88">
        <w:rPr>
          <w:rFonts w:cs="Tahoma"/>
          <w:color w:val="000000"/>
          <w:sz w:val="24"/>
          <w:szCs w:val="24"/>
          <w:shd w:val="clear" w:color="auto" w:fill="FFFFFF"/>
        </w:rPr>
        <w:t>“</w:t>
      </w:r>
      <w:r w:rsidRPr="00AB0F88">
        <w:rPr>
          <w:rFonts w:cs="Tahoma"/>
          <w:i/>
          <w:sz w:val="24"/>
          <w:szCs w:val="24"/>
        </w:rPr>
        <w:t xml:space="preserve">Non-members (Non-CAs) shall not be allowed to participate in CPE </w:t>
      </w:r>
      <w:proofErr w:type="spellStart"/>
      <w:r w:rsidRPr="00AB0F88">
        <w:rPr>
          <w:rFonts w:cs="Tahoma"/>
          <w:i/>
          <w:sz w:val="24"/>
          <w:szCs w:val="24"/>
        </w:rPr>
        <w:t>programmes</w:t>
      </w:r>
      <w:proofErr w:type="spellEnd"/>
      <w:r w:rsidRPr="00AB0F88">
        <w:rPr>
          <w:rFonts w:cs="Tahoma"/>
          <w:i/>
          <w:sz w:val="24"/>
          <w:szCs w:val="24"/>
        </w:rPr>
        <w:t xml:space="preserve">, </w:t>
      </w:r>
      <w:proofErr w:type="spellStart"/>
      <w:r w:rsidRPr="00AB0F88">
        <w:rPr>
          <w:rFonts w:cs="Tahoma"/>
          <w:i/>
          <w:sz w:val="24"/>
          <w:szCs w:val="24"/>
        </w:rPr>
        <w:t>organised</w:t>
      </w:r>
      <w:proofErr w:type="spellEnd"/>
      <w:r w:rsidRPr="00AB0F88">
        <w:rPr>
          <w:rFonts w:cs="Tahoma"/>
          <w:i/>
          <w:sz w:val="24"/>
          <w:szCs w:val="24"/>
        </w:rPr>
        <w:t xml:space="preserve"> by CPE Study Circles, CMI&amp;B Study Circles, CPE Study Chapters and CPE Study Groups even after paying the </w:t>
      </w:r>
      <w:proofErr w:type="spellStart"/>
      <w:r w:rsidRPr="00AB0F88">
        <w:rPr>
          <w:rFonts w:cs="Tahoma"/>
          <w:i/>
          <w:sz w:val="24"/>
          <w:szCs w:val="24"/>
        </w:rPr>
        <w:t>programme</w:t>
      </w:r>
      <w:proofErr w:type="spellEnd"/>
      <w:r w:rsidRPr="00AB0F88">
        <w:rPr>
          <w:rFonts w:cs="Tahoma"/>
          <w:i/>
          <w:sz w:val="24"/>
          <w:szCs w:val="24"/>
        </w:rPr>
        <w:t xml:space="preserve"> fees.”</w:t>
      </w:r>
    </w:p>
    <w:p w14:paraId="20D4C892" w14:textId="77777777" w:rsidR="002C2A7B" w:rsidRPr="00AB0F88" w:rsidRDefault="002C2A7B" w:rsidP="002C2A7B">
      <w:pPr>
        <w:pStyle w:val="ListParagraph"/>
        <w:jc w:val="both"/>
        <w:rPr>
          <w:rFonts w:cs="Tahoma"/>
          <w:i/>
          <w:sz w:val="24"/>
          <w:szCs w:val="24"/>
        </w:rPr>
      </w:pPr>
    </w:p>
    <w:p w14:paraId="1E1F3B78" w14:textId="77777777" w:rsidR="00FA40BF" w:rsidRPr="00AB0F88" w:rsidRDefault="00FA40BF" w:rsidP="002C2A7B">
      <w:pPr>
        <w:pStyle w:val="ListParagraph"/>
        <w:numPr>
          <w:ilvl w:val="0"/>
          <w:numId w:val="14"/>
        </w:numPr>
        <w:jc w:val="both"/>
        <w:rPr>
          <w:rFonts w:cs="Tahoma"/>
          <w:b/>
          <w:sz w:val="24"/>
          <w:szCs w:val="24"/>
          <w:u w:val="single"/>
        </w:rPr>
      </w:pPr>
      <w:r w:rsidRPr="00AB0F88">
        <w:rPr>
          <w:rFonts w:cs="Tahoma"/>
          <w:b/>
          <w:sz w:val="24"/>
          <w:szCs w:val="24"/>
          <w:u w:val="single"/>
        </w:rPr>
        <w:t xml:space="preserve">Clarification on CPE hours </w:t>
      </w:r>
      <w:r w:rsidRPr="00AB0F88">
        <w:rPr>
          <w:rFonts w:cs="Tahoma"/>
          <w:b/>
          <w:bCs/>
          <w:sz w:val="24"/>
          <w:szCs w:val="24"/>
          <w:u w:val="single"/>
        </w:rPr>
        <w:t xml:space="preserve">requirements to members who obtains and surrenders the Certificate of Practice in the mid of a Calendar </w:t>
      </w:r>
      <w:proofErr w:type="gramStart"/>
      <w:r w:rsidRPr="00AB0F88">
        <w:rPr>
          <w:rFonts w:cs="Tahoma"/>
          <w:b/>
          <w:bCs/>
          <w:sz w:val="24"/>
          <w:szCs w:val="24"/>
          <w:u w:val="single"/>
        </w:rPr>
        <w:t>year</w:t>
      </w:r>
      <w:proofErr w:type="gramEnd"/>
    </w:p>
    <w:p w14:paraId="2F392770" w14:textId="77777777" w:rsidR="00FA40BF" w:rsidRPr="00AB0F88" w:rsidRDefault="00FA40BF" w:rsidP="00FA40BF">
      <w:pPr>
        <w:pStyle w:val="ListParagraph"/>
        <w:jc w:val="both"/>
        <w:rPr>
          <w:rFonts w:cs="Tahoma"/>
          <w:sz w:val="24"/>
          <w:szCs w:val="24"/>
        </w:rPr>
      </w:pPr>
    </w:p>
    <w:p w14:paraId="3EAABA0C" w14:textId="77777777" w:rsidR="00FA40BF" w:rsidRPr="00AB0F88" w:rsidRDefault="00FA40BF" w:rsidP="00FA40BF">
      <w:pPr>
        <w:pStyle w:val="ListParagraph"/>
        <w:jc w:val="both"/>
        <w:rPr>
          <w:rFonts w:cs="Tahoma"/>
          <w:bCs/>
          <w:sz w:val="24"/>
          <w:szCs w:val="24"/>
        </w:rPr>
      </w:pPr>
      <w:r w:rsidRPr="00AB0F88">
        <w:rPr>
          <w:rFonts w:cs="Tahoma"/>
          <w:bCs/>
          <w:sz w:val="24"/>
          <w:szCs w:val="24"/>
        </w:rPr>
        <w:t>The CPE Directorate at its 3</w:t>
      </w:r>
      <w:r w:rsidRPr="00AB0F88">
        <w:rPr>
          <w:rFonts w:cs="Tahoma"/>
          <w:bCs/>
          <w:sz w:val="24"/>
          <w:szCs w:val="24"/>
          <w:vertAlign w:val="superscript"/>
        </w:rPr>
        <w:t>rd</w:t>
      </w:r>
      <w:r w:rsidRPr="00AB0F88">
        <w:rPr>
          <w:rFonts w:cs="Tahoma"/>
          <w:bCs/>
          <w:sz w:val="24"/>
          <w:szCs w:val="24"/>
        </w:rPr>
        <w:t xml:space="preserve"> Meeting held on 31</w:t>
      </w:r>
      <w:r w:rsidRPr="00AB0F88">
        <w:rPr>
          <w:rFonts w:cs="Tahoma"/>
          <w:bCs/>
          <w:sz w:val="24"/>
          <w:szCs w:val="24"/>
          <w:vertAlign w:val="superscript"/>
        </w:rPr>
        <w:t>st</w:t>
      </w:r>
      <w:r w:rsidRPr="00AB0F88">
        <w:rPr>
          <w:rFonts w:cs="Tahoma"/>
          <w:bCs/>
          <w:sz w:val="24"/>
          <w:szCs w:val="24"/>
        </w:rPr>
        <w:t xml:space="preserve"> </w:t>
      </w:r>
      <w:proofErr w:type="gramStart"/>
      <w:r w:rsidRPr="00AB0F88">
        <w:rPr>
          <w:rFonts w:cs="Tahoma"/>
          <w:bCs/>
          <w:sz w:val="24"/>
          <w:szCs w:val="24"/>
        </w:rPr>
        <w:t>July,</w:t>
      </w:r>
      <w:proofErr w:type="gramEnd"/>
      <w:r w:rsidRPr="00AB0F88">
        <w:rPr>
          <w:rFonts w:cs="Tahoma"/>
          <w:bCs/>
          <w:sz w:val="24"/>
          <w:szCs w:val="24"/>
        </w:rPr>
        <w:t xml:space="preserve"> 2019 considered the matter regarding CPE requirements applicable to members who obtains and surrenders the Certificate of Practice in the mid of a Calendar year and clarified as under:</w:t>
      </w:r>
    </w:p>
    <w:p w14:paraId="36B02757" w14:textId="77777777" w:rsidR="00FA40BF" w:rsidRPr="00AB0F88" w:rsidRDefault="00FA40BF" w:rsidP="00FA40BF">
      <w:pPr>
        <w:pStyle w:val="ListParagraph"/>
        <w:jc w:val="both"/>
        <w:rPr>
          <w:rFonts w:cs="Tahoma"/>
          <w:bCs/>
          <w:sz w:val="24"/>
          <w:szCs w:val="24"/>
        </w:rPr>
      </w:pPr>
    </w:p>
    <w:p w14:paraId="1EE20B4D" w14:textId="77777777" w:rsidR="00FA40BF" w:rsidRPr="00AB0F88" w:rsidRDefault="00FA40BF" w:rsidP="00FA40BF">
      <w:pPr>
        <w:pStyle w:val="ListParagraph"/>
        <w:numPr>
          <w:ilvl w:val="0"/>
          <w:numId w:val="2"/>
        </w:numPr>
        <w:jc w:val="both"/>
        <w:rPr>
          <w:rFonts w:cs="Tahoma"/>
          <w:sz w:val="24"/>
          <w:szCs w:val="24"/>
        </w:rPr>
      </w:pPr>
      <w:r w:rsidRPr="00AB0F88">
        <w:rPr>
          <w:rFonts w:cs="Tahoma"/>
          <w:sz w:val="24"/>
          <w:szCs w:val="24"/>
        </w:rPr>
        <w:t>If the member is surrendering his/her COP on or before 30</w:t>
      </w:r>
      <w:r w:rsidRPr="00AB0F88">
        <w:rPr>
          <w:rFonts w:cs="Tahoma"/>
          <w:sz w:val="24"/>
          <w:szCs w:val="24"/>
          <w:vertAlign w:val="superscript"/>
        </w:rPr>
        <w:t>th</w:t>
      </w:r>
      <w:r w:rsidRPr="00AB0F88">
        <w:rPr>
          <w:rFonts w:cs="Tahoma"/>
          <w:sz w:val="24"/>
          <w:szCs w:val="24"/>
        </w:rPr>
        <w:t xml:space="preserve"> June of a particular Calendar Year, he/she is required to complete the CPE requirements applicable to a </w:t>
      </w:r>
      <w:proofErr w:type="gramStart"/>
      <w:r w:rsidRPr="00AB0F88">
        <w:rPr>
          <w:rFonts w:cs="Tahoma"/>
          <w:sz w:val="24"/>
          <w:szCs w:val="24"/>
        </w:rPr>
        <w:t>Non-COP</w:t>
      </w:r>
      <w:proofErr w:type="gramEnd"/>
      <w:r w:rsidRPr="00AB0F88">
        <w:rPr>
          <w:rFonts w:cs="Tahoma"/>
          <w:sz w:val="24"/>
          <w:szCs w:val="24"/>
        </w:rPr>
        <w:t xml:space="preserve"> holder in that Calendar year.</w:t>
      </w:r>
    </w:p>
    <w:p w14:paraId="60D84284" w14:textId="77777777" w:rsidR="00B6677A" w:rsidRPr="00AB0F88" w:rsidRDefault="00B6677A" w:rsidP="00B6677A">
      <w:pPr>
        <w:pStyle w:val="ListParagraph"/>
        <w:ind w:left="1080"/>
        <w:jc w:val="both"/>
        <w:rPr>
          <w:rFonts w:cs="Tahoma"/>
          <w:sz w:val="24"/>
          <w:szCs w:val="24"/>
        </w:rPr>
      </w:pPr>
    </w:p>
    <w:p w14:paraId="637CAEF9" w14:textId="77777777" w:rsidR="00B6677A" w:rsidRPr="00AB0F88" w:rsidRDefault="00FA40BF" w:rsidP="00B6677A">
      <w:pPr>
        <w:pStyle w:val="ListParagraph"/>
        <w:numPr>
          <w:ilvl w:val="0"/>
          <w:numId w:val="2"/>
        </w:numPr>
        <w:jc w:val="both"/>
        <w:rPr>
          <w:rFonts w:cs="Tahoma"/>
          <w:sz w:val="24"/>
          <w:szCs w:val="24"/>
        </w:rPr>
      </w:pPr>
      <w:r w:rsidRPr="00AB0F88">
        <w:rPr>
          <w:rFonts w:cs="Tahoma"/>
          <w:sz w:val="24"/>
          <w:szCs w:val="24"/>
        </w:rPr>
        <w:t>If the member is obtaining COP on or before 30</w:t>
      </w:r>
      <w:r w:rsidRPr="00AB0F88">
        <w:rPr>
          <w:rFonts w:cs="Tahoma"/>
          <w:sz w:val="24"/>
          <w:szCs w:val="24"/>
          <w:vertAlign w:val="superscript"/>
        </w:rPr>
        <w:t>th</w:t>
      </w:r>
      <w:r w:rsidRPr="00AB0F88">
        <w:rPr>
          <w:rFonts w:cs="Tahoma"/>
          <w:sz w:val="24"/>
          <w:szCs w:val="24"/>
        </w:rPr>
        <w:t xml:space="preserve"> June of a particular Calendar Year, he/she is required to complete CPE Hours requirements applicable to a COP holder in that Calendar year.</w:t>
      </w:r>
    </w:p>
    <w:p w14:paraId="41516B50" w14:textId="77777777" w:rsidR="00B6677A" w:rsidRPr="00AB0F88" w:rsidRDefault="00B6677A" w:rsidP="00B6677A">
      <w:pPr>
        <w:pStyle w:val="ListParagraph"/>
        <w:ind w:left="1080"/>
        <w:jc w:val="both"/>
        <w:rPr>
          <w:rFonts w:cs="Tahoma"/>
          <w:sz w:val="24"/>
          <w:szCs w:val="24"/>
        </w:rPr>
      </w:pPr>
    </w:p>
    <w:p w14:paraId="6B8EA245" w14:textId="77777777" w:rsidR="00FA40BF" w:rsidRPr="00AB0F88" w:rsidRDefault="00FA40BF" w:rsidP="00FA40BF">
      <w:pPr>
        <w:pStyle w:val="ListParagraph"/>
        <w:numPr>
          <w:ilvl w:val="0"/>
          <w:numId w:val="2"/>
        </w:numPr>
        <w:jc w:val="both"/>
        <w:rPr>
          <w:rFonts w:cs="Tahoma"/>
          <w:sz w:val="24"/>
          <w:szCs w:val="24"/>
        </w:rPr>
      </w:pPr>
      <w:r w:rsidRPr="00AB0F88">
        <w:rPr>
          <w:rFonts w:cs="Tahoma"/>
          <w:sz w:val="24"/>
          <w:szCs w:val="24"/>
        </w:rPr>
        <w:t xml:space="preserve">In </w:t>
      </w:r>
      <w:proofErr w:type="gramStart"/>
      <w:r w:rsidRPr="00AB0F88">
        <w:rPr>
          <w:rFonts w:cs="Tahoma"/>
          <w:sz w:val="24"/>
          <w:szCs w:val="24"/>
        </w:rPr>
        <w:t>case</w:t>
      </w:r>
      <w:proofErr w:type="gramEnd"/>
      <w:r w:rsidRPr="00AB0F88">
        <w:rPr>
          <w:rFonts w:cs="Tahoma"/>
          <w:sz w:val="24"/>
          <w:szCs w:val="24"/>
        </w:rPr>
        <w:t xml:space="preserve"> where the member obtains and surrenders and vice versa his/her COP in the same Calendar year, the CPE Hours requirements in that Calendar year would be applicable </w:t>
      </w:r>
      <w:proofErr w:type="gramStart"/>
      <w:r w:rsidRPr="00AB0F88">
        <w:rPr>
          <w:rFonts w:cs="Tahoma"/>
          <w:sz w:val="24"/>
          <w:szCs w:val="24"/>
        </w:rPr>
        <w:t>on the basis of</w:t>
      </w:r>
      <w:proofErr w:type="gramEnd"/>
      <w:r w:rsidRPr="00AB0F88">
        <w:rPr>
          <w:rFonts w:cs="Tahoma"/>
          <w:sz w:val="24"/>
          <w:szCs w:val="24"/>
        </w:rPr>
        <w:t xml:space="preserve"> status of COP (holding /not holding) for 183 days or more. The date of </w:t>
      </w:r>
      <w:proofErr w:type="gramStart"/>
      <w:r w:rsidRPr="00AB0F88">
        <w:rPr>
          <w:rFonts w:cs="Tahoma"/>
          <w:sz w:val="24"/>
          <w:szCs w:val="24"/>
        </w:rPr>
        <w:lastRenderedPageBreak/>
        <w:t>obtaining of</w:t>
      </w:r>
      <w:proofErr w:type="gramEnd"/>
      <w:r w:rsidRPr="00AB0F88">
        <w:rPr>
          <w:rFonts w:cs="Tahoma"/>
          <w:sz w:val="24"/>
          <w:szCs w:val="24"/>
        </w:rPr>
        <w:t xml:space="preserve"> COP would be included and the date of surrendering of COP would be exclud</w:t>
      </w:r>
      <w:r w:rsidR="00D512F9" w:rsidRPr="00AB0F88">
        <w:rPr>
          <w:rFonts w:cs="Tahoma"/>
          <w:sz w:val="24"/>
          <w:szCs w:val="24"/>
        </w:rPr>
        <w:t>ed for calculation of 183 days.</w:t>
      </w:r>
    </w:p>
    <w:p w14:paraId="59F41279" w14:textId="77777777" w:rsidR="00FA40BF" w:rsidRPr="00AB0F88" w:rsidRDefault="00FA40BF" w:rsidP="00FA40BF">
      <w:pPr>
        <w:pStyle w:val="ListParagraph"/>
        <w:ind w:left="0"/>
        <w:rPr>
          <w:rFonts w:cs="Tahoma"/>
          <w:bCs/>
          <w:sz w:val="24"/>
          <w:szCs w:val="24"/>
        </w:rPr>
      </w:pPr>
    </w:p>
    <w:tbl>
      <w:tblPr>
        <w:tblStyle w:val="TableGrid"/>
        <w:tblW w:w="0" w:type="auto"/>
        <w:tblInd w:w="809" w:type="dxa"/>
        <w:tblLook w:val="04A0" w:firstRow="1" w:lastRow="0" w:firstColumn="1" w:lastColumn="0" w:noHBand="0" w:noVBand="1"/>
      </w:tblPr>
      <w:tblGrid>
        <w:gridCol w:w="3078"/>
        <w:gridCol w:w="2790"/>
        <w:gridCol w:w="2700"/>
      </w:tblGrid>
      <w:tr w:rsidR="00FA40BF" w:rsidRPr="00AB0F88" w14:paraId="6F69865F" w14:textId="77777777" w:rsidTr="00B6677A">
        <w:tc>
          <w:tcPr>
            <w:tcW w:w="3078" w:type="dxa"/>
          </w:tcPr>
          <w:p w14:paraId="03758AE5" w14:textId="77777777" w:rsidR="00FA40BF" w:rsidRPr="00AB0F88" w:rsidRDefault="00FA40BF" w:rsidP="00F6102B">
            <w:pPr>
              <w:pStyle w:val="ListParagraph"/>
              <w:ind w:left="0"/>
              <w:rPr>
                <w:rFonts w:asciiTheme="minorHAnsi" w:hAnsiTheme="minorHAnsi" w:cs="Tahoma"/>
                <w:bCs/>
                <w:sz w:val="24"/>
                <w:szCs w:val="24"/>
              </w:rPr>
            </w:pPr>
          </w:p>
        </w:tc>
        <w:tc>
          <w:tcPr>
            <w:tcW w:w="5490" w:type="dxa"/>
            <w:gridSpan w:val="2"/>
          </w:tcPr>
          <w:p w14:paraId="4F5E2BFD" w14:textId="77777777" w:rsidR="00FA40BF" w:rsidRPr="00AB0F88" w:rsidRDefault="00FA40BF" w:rsidP="00F6102B">
            <w:pPr>
              <w:pStyle w:val="ListParagraph"/>
              <w:ind w:left="0"/>
              <w:jc w:val="center"/>
              <w:rPr>
                <w:rFonts w:asciiTheme="minorHAnsi" w:hAnsiTheme="minorHAnsi" w:cs="Tahoma"/>
                <w:b/>
                <w:bCs/>
                <w:i/>
                <w:sz w:val="24"/>
                <w:szCs w:val="24"/>
              </w:rPr>
            </w:pPr>
            <w:r w:rsidRPr="00AB0F88">
              <w:rPr>
                <w:rFonts w:asciiTheme="minorHAnsi" w:hAnsiTheme="minorHAnsi" w:cs="Tahoma"/>
                <w:b/>
                <w:bCs/>
                <w:i/>
                <w:sz w:val="24"/>
                <w:szCs w:val="24"/>
              </w:rPr>
              <w:t>Applicability of CPE requirements as</w:t>
            </w:r>
          </w:p>
          <w:p w14:paraId="6ACA569C" w14:textId="77777777" w:rsidR="00FA40BF" w:rsidRPr="00AB0F88" w:rsidRDefault="00FA40BF" w:rsidP="00F6102B">
            <w:pPr>
              <w:pStyle w:val="ListParagraph"/>
              <w:ind w:left="0"/>
              <w:jc w:val="center"/>
              <w:rPr>
                <w:rFonts w:asciiTheme="minorHAnsi" w:hAnsiTheme="minorHAnsi" w:cs="Tahoma"/>
                <w:b/>
                <w:bCs/>
                <w:i/>
                <w:sz w:val="24"/>
                <w:szCs w:val="24"/>
              </w:rPr>
            </w:pPr>
          </w:p>
        </w:tc>
      </w:tr>
      <w:tr w:rsidR="00FA40BF" w:rsidRPr="00AB0F88" w14:paraId="574E73CD" w14:textId="77777777" w:rsidTr="00B6677A">
        <w:tc>
          <w:tcPr>
            <w:tcW w:w="3078" w:type="dxa"/>
          </w:tcPr>
          <w:p w14:paraId="3E54D356" w14:textId="77777777" w:rsidR="00FA40BF" w:rsidRPr="00AB0F88" w:rsidRDefault="00FA40BF" w:rsidP="00F6102B">
            <w:pPr>
              <w:pStyle w:val="ListParagraph"/>
              <w:ind w:left="0"/>
              <w:jc w:val="center"/>
              <w:rPr>
                <w:rFonts w:asciiTheme="minorHAnsi" w:hAnsiTheme="minorHAnsi" w:cs="Tahoma"/>
                <w:bCs/>
                <w:sz w:val="24"/>
                <w:szCs w:val="24"/>
              </w:rPr>
            </w:pPr>
            <w:r w:rsidRPr="00AB0F88">
              <w:rPr>
                <w:rFonts w:asciiTheme="minorHAnsi" w:hAnsiTheme="minorHAnsi" w:cs="Tahoma"/>
                <w:b/>
                <w:bCs/>
                <w:i/>
                <w:sz w:val="24"/>
                <w:szCs w:val="24"/>
              </w:rPr>
              <w:t>Period</w:t>
            </w:r>
          </w:p>
        </w:tc>
        <w:tc>
          <w:tcPr>
            <w:tcW w:w="2790" w:type="dxa"/>
          </w:tcPr>
          <w:p w14:paraId="573C6893" w14:textId="77777777" w:rsidR="00FA40BF" w:rsidRPr="00AB0F88" w:rsidRDefault="00FA40BF" w:rsidP="00F6102B">
            <w:pPr>
              <w:pStyle w:val="ListParagraph"/>
              <w:ind w:left="0"/>
              <w:jc w:val="center"/>
              <w:rPr>
                <w:rFonts w:asciiTheme="minorHAnsi" w:hAnsiTheme="minorHAnsi" w:cs="Tahoma"/>
                <w:b/>
                <w:bCs/>
                <w:sz w:val="24"/>
                <w:szCs w:val="24"/>
              </w:rPr>
            </w:pPr>
            <w:r w:rsidRPr="00AB0F88">
              <w:rPr>
                <w:rFonts w:asciiTheme="minorHAnsi" w:hAnsiTheme="minorHAnsi" w:cs="Tahoma"/>
                <w:b/>
                <w:bCs/>
                <w:sz w:val="24"/>
                <w:szCs w:val="24"/>
              </w:rPr>
              <w:t>Surrendering of COP</w:t>
            </w:r>
          </w:p>
        </w:tc>
        <w:tc>
          <w:tcPr>
            <w:tcW w:w="2700" w:type="dxa"/>
          </w:tcPr>
          <w:p w14:paraId="4384C38B" w14:textId="77777777" w:rsidR="00FA40BF" w:rsidRPr="00AB0F88" w:rsidRDefault="00FA40BF" w:rsidP="00F6102B">
            <w:pPr>
              <w:pStyle w:val="ListParagraph"/>
              <w:ind w:left="0"/>
              <w:jc w:val="center"/>
              <w:rPr>
                <w:rFonts w:asciiTheme="minorHAnsi" w:hAnsiTheme="minorHAnsi" w:cs="Tahoma"/>
                <w:b/>
                <w:bCs/>
                <w:sz w:val="24"/>
                <w:szCs w:val="24"/>
              </w:rPr>
            </w:pPr>
            <w:r w:rsidRPr="00AB0F88">
              <w:rPr>
                <w:rFonts w:asciiTheme="minorHAnsi" w:hAnsiTheme="minorHAnsi" w:cs="Tahoma"/>
                <w:b/>
                <w:bCs/>
                <w:sz w:val="24"/>
                <w:szCs w:val="24"/>
              </w:rPr>
              <w:t>Obtaining of COP</w:t>
            </w:r>
          </w:p>
        </w:tc>
      </w:tr>
      <w:tr w:rsidR="00FA40BF" w:rsidRPr="00AB0F88" w14:paraId="55D2C76F" w14:textId="77777777" w:rsidTr="00B6677A">
        <w:tc>
          <w:tcPr>
            <w:tcW w:w="3078" w:type="dxa"/>
          </w:tcPr>
          <w:p w14:paraId="77BD642C" w14:textId="77777777" w:rsidR="00FA40BF" w:rsidRPr="00AB0F88" w:rsidRDefault="00FA40BF" w:rsidP="00F6102B">
            <w:pPr>
              <w:pStyle w:val="ListParagraph"/>
              <w:ind w:left="0"/>
              <w:rPr>
                <w:rFonts w:asciiTheme="minorHAnsi" w:hAnsiTheme="minorHAnsi" w:cs="Tahoma"/>
                <w:b/>
                <w:bCs/>
                <w:sz w:val="24"/>
                <w:szCs w:val="24"/>
              </w:rPr>
            </w:pPr>
            <w:r w:rsidRPr="00AB0F88">
              <w:rPr>
                <w:rFonts w:asciiTheme="minorHAnsi" w:hAnsiTheme="minorHAnsi" w:cs="Tahoma"/>
                <w:b/>
                <w:bCs/>
                <w:sz w:val="24"/>
                <w:szCs w:val="24"/>
              </w:rPr>
              <w:t>From 1</w:t>
            </w:r>
            <w:r w:rsidRPr="00AB0F88">
              <w:rPr>
                <w:rFonts w:asciiTheme="minorHAnsi" w:hAnsiTheme="minorHAnsi" w:cs="Tahoma"/>
                <w:b/>
                <w:bCs/>
                <w:sz w:val="24"/>
                <w:szCs w:val="24"/>
                <w:vertAlign w:val="superscript"/>
              </w:rPr>
              <w:t>St</w:t>
            </w:r>
            <w:r w:rsidRPr="00AB0F88">
              <w:rPr>
                <w:rFonts w:asciiTheme="minorHAnsi" w:hAnsiTheme="minorHAnsi" w:cs="Tahoma"/>
                <w:b/>
                <w:bCs/>
                <w:sz w:val="24"/>
                <w:szCs w:val="24"/>
              </w:rPr>
              <w:t xml:space="preserve"> January to 30</w:t>
            </w:r>
            <w:r w:rsidRPr="00AB0F88">
              <w:rPr>
                <w:rFonts w:asciiTheme="minorHAnsi" w:hAnsiTheme="minorHAnsi" w:cs="Tahoma"/>
                <w:b/>
                <w:bCs/>
                <w:sz w:val="24"/>
                <w:szCs w:val="24"/>
                <w:vertAlign w:val="superscript"/>
              </w:rPr>
              <w:t>th</w:t>
            </w:r>
            <w:r w:rsidRPr="00AB0F88">
              <w:rPr>
                <w:rFonts w:asciiTheme="minorHAnsi" w:hAnsiTheme="minorHAnsi" w:cs="Tahoma"/>
                <w:b/>
                <w:bCs/>
                <w:sz w:val="24"/>
                <w:szCs w:val="24"/>
              </w:rPr>
              <w:t xml:space="preserve"> June</w:t>
            </w:r>
          </w:p>
        </w:tc>
        <w:tc>
          <w:tcPr>
            <w:tcW w:w="2790" w:type="dxa"/>
          </w:tcPr>
          <w:p w14:paraId="37B8F0FC" w14:textId="77777777" w:rsidR="00FA40BF" w:rsidRPr="00AB0F88" w:rsidRDefault="00FA40BF" w:rsidP="00F6102B">
            <w:pPr>
              <w:pStyle w:val="ListParagraph"/>
              <w:ind w:left="0"/>
              <w:rPr>
                <w:rFonts w:asciiTheme="minorHAnsi" w:hAnsiTheme="minorHAnsi" w:cs="Tahoma"/>
                <w:bCs/>
                <w:sz w:val="24"/>
                <w:szCs w:val="24"/>
              </w:rPr>
            </w:pPr>
            <w:r w:rsidRPr="00AB0F88">
              <w:rPr>
                <w:rFonts w:asciiTheme="minorHAnsi" w:hAnsiTheme="minorHAnsi" w:cs="Tahoma"/>
                <w:bCs/>
                <w:sz w:val="24"/>
                <w:szCs w:val="24"/>
              </w:rPr>
              <w:t xml:space="preserve">Non-COP holder </w:t>
            </w:r>
          </w:p>
        </w:tc>
        <w:tc>
          <w:tcPr>
            <w:tcW w:w="2700" w:type="dxa"/>
          </w:tcPr>
          <w:p w14:paraId="4D01B6E8" w14:textId="77777777" w:rsidR="00FA40BF" w:rsidRPr="00AB0F88" w:rsidRDefault="00FA40BF" w:rsidP="00F6102B">
            <w:pPr>
              <w:pStyle w:val="ListParagraph"/>
              <w:ind w:left="0"/>
              <w:rPr>
                <w:rFonts w:asciiTheme="minorHAnsi" w:hAnsiTheme="minorHAnsi" w:cs="Tahoma"/>
                <w:bCs/>
                <w:sz w:val="24"/>
                <w:szCs w:val="24"/>
              </w:rPr>
            </w:pPr>
            <w:r w:rsidRPr="00AB0F88">
              <w:rPr>
                <w:rFonts w:asciiTheme="minorHAnsi" w:hAnsiTheme="minorHAnsi" w:cs="Tahoma"/>
                <w:bCs/>
                <w:sz w:val="24"/>
                <w:szCs w:val="24"/>
              </w:rPr>
              <w:t>COP holder</w:t>
            </w:r>
          </w:p>
        </w:tc>
      </w:tr>
      <w:tr w:rsidR="00FA40BF" w:rsidRPr="00AB0F88" w14:paraId="5F4F65B9" w14:textId="77777777" w:rsidTr="00B6677A">
        <w:tc>
          <w:tcPr>
            <w:tcW w:w="3078" w:type="dxa"/>
          </w:tcPr>
          <w:p w14:paraId="1239CF69" w14:textId="77777777" w:rsidR="00FA40BF" w:rsidRPr="00AB0F88" w:rsidRDefault="00FA40BF" w:rsidP="00F6102B">
            <w:pPr>
              <w:pStyle w:val="ListParagraph"/>
              <w:ind w:left="0"/>
              <w:rPr>
                <w:rFonts w:asciiTheme="minorHAnsi" w:hAnsiTheme="minorHAnsi" w:cs="Tahoma"/>
                <w:b/>
                <w:bCs/>
                <w:sz w:val="24"/>
                <w:szCs w:val="24"/>
              </w:rPr>
            </w:pPr>
            <w:r w:rsidRPr="00AB0F88">
              <w:rPr>
                <w:rFonts w:asciiTheme="minorHAnsi" w:hAnsiTheme="minorHAnsi" w:cs="Tahoma"/>
                <w:b/>
                <w:bCs/>
                <w:sz w:val="24"/>
                <w:szCs w:val="24"/>
              </w:rPr>
              <w:t>From 1</w:t>
            </w:r>
            <w:r w:rsidRPr="00AB0F88">
              <w:rPr>
                <w:rFonts w:asciiTheme="minorHAnsi" w:hAnsiTheme="minorHAnsi" w:cs="Tahoma"/>
                <w:b/>
                <w:bCs/>
                <w:sz w:val="24"/>
                <w:szCs w:val="24"/>
                <w:vertAlign w:val="superscript"/>
              </w:rPr>
              <w:t>st</w:t>
            </w:r>
            <w:r w:rsidRPr="00AB0F88">
              <w:rPr>
                <w:rFonts w:asciiTheme="minorHAnsi" w:hAnsiTheme="minorHAnsi" w:cs="Tahoma"/>
                <w:b/>
                <w:bCs/>
                <w:sz w:val="24"/>
                <w:szCs w:val="24"/>
              </w:rPr>
              <w:t xml:space="preserve"> July to 31</w:t>
            </w:r>
            <w:r w:rsidRPr="00AB0F88">
              <w:rPr>
                <w:rFonts w:asciiTheme="minorHAnsi" w:hAnsiTheme="minorHAnsi" w:cs="Tahoma"/>
                <w:b/>
                <w:bCs/>
                <w:sz w:val="24"/>
                <w:szCs w:val="24"/>
                <w:vertAlign w:val="superscript"/>
              </w:rPr>
              <w:t>st</w:t>
            </w:r>
            <w:r w:rsidRPr="00AB0F88">
              <w:rPr>
                <w:rFonts w:asciiTheme="minorHAnsi" w:hAnsiTheme="minorHAnsi" w:cs="Tahoma"/>
                <w:b/>
                <w:bCs/>
                <w:sz w:val="24"/>
                <w:szCs w:val="24"/>
              </w:rPr>
              <w:t xml:space="preserve"> December</w:t>
            </w:r>
          </w:p>
        </w:tc>
        <w:tc>
          <w:tcPr>
            <w:tcW w:w="2790" w:type="dxa"/>
          </w:tcPr>
          <w:p w14:paraId="4ED699B4" w14:textId="77777777" w:rsidR="00FA40BF" w:rsidRPr="00AB0F88" w:rsidRDefault="00FA40BF" w:rsidP="00F6102B">
            <w:pPr>
              <w:pStyle w:val="ListParagraph"/>
              <w:ind w:left="0"/>
              <w:rPr>
                <w:rFonts w:asciiTheme="minorHAnsi" w:hAnsiTheme="minorHAnsi" w:cs="Tahoma"/>
                <w:bCs/>
                <w:sz w:val="24"/>
                <w:szCs w:val="24"/>
              </w:rPr>
            </w:pPr>
            <w:r w:rsidRPr="00AB0F88">
              <w:rPr>
                <w:rFonts w:asciiTheme="minorHAnsi" w:hAnsiTheme="minorHAnsi" w:cs="Tahoma"/>
                <w:bCs/>
                <w:sz w:val="24"/>
                <w:szCs w:val="24"/>
              </w:rPr>
              <w:t>COP holder</w:t>
            </w:r>
          </w:p>
        </w:tc>
        <w:tc>
          <w:tcPr>
            <w:tcW w:w="2700" w:type="dxa"/>
          </w:tcPr>
          <w:p w14:paraId="19D36ED3" w14:textId="77777777" w:rsidR="00FA40BF" w:rsidRPr="00AB0F88" w:rsidRDefault="00FA40BF" w:rsidP="00F6102B">
            <w:pPr>
              <w:pStyle w:val="ListParagraph"/>
              <w:ind w:left="0"/>
              <w:rPr>
                <w:rFonts w:asciiTheme="minorHAnsi" w:hAnsiTheme="minorHAnsi" w:cs="Tahoma"/>
                <w:bCs/>
                <w:sz w:val="24"/>
                <w:szCs w:val="24"/>
              </w:rPr>
            </w:pPr>
            <w:r w:rsidRPr="00AB0F88">
              <w:rPr>
                <w:rFonts w:asciiTheme="minorHAnsi" w:hAnsiTheme="minorHAnsi" w:cs="Tahoma"/>
                <w:bCs/>
                <w:sz w:val="24"/>
                <w:szCs w:val="24"/>
              </w:rPr>
              <w:t>Non-COP holder</w:t>
            </w:r>
          </w:p>
        </w:tc>
      </w:tr>
    </w:tbl>
    <w:p w14:paraId="03FE5895" w14:textId="77777777" w:rsidR="00FA40BF" w:rsidRPr="00AB0F88" w:rsidRDefault="00FA40BF" w:rsidP="00FA40BF">
      <w:pPr>
        <w:spacing w:after="0" w:line="240" w:lineRule="auto"/>
        <w:jc w:val="both"/>
        <w:rPr>
          <w:rFonts w:cs="Tahoma"/>
          <w:bCs/>
          <w:sz w:val="24"/>
          <w:szCs w:val="24"/>
        </w:rPr>
      </w:pPr>
    </w:p>
    <w:p w14:paraId="4F98EE98" w14:textId="77777777" w:rsidR="00FA40BF" w:rsidRDefault="00FA40BF" w:rsidP="00175991">
      <w:pPr>
        <w:ind w:left="720"/>
        <w:jc w:val="both"/>
        <w:rPr>
          <w:rFonts w:cs="Tahoma"/>
          <w:sz w:val="24"/>
          <w:szCs w:val="24"/>
        </w:rPr>
      </w:pPr>
      <w:r w:rsidRPr="00AB0F88">
        <w:rPr>
          <w:rFonts w:cs="Tahoma"/>
          <w:sz w:val="24"/>
          <w:szCs w:val="24"/>
        </w:rPr>
        <w:t xml:space="preserve">The above decision would also be applicable while dealing with the CPE Hours requirements of Member’s for issuance of </w:t>
      </w:r>
      <w:proofErr w:type="spellStart"/>
      <w:r w:rsidRPr="00AB0F88">
        <w:rPr>
          <w:rFonts w:cs="Tahoma"/>
          <w:sz w:val="24"/>
          <w:szCs w:val="24"/>
        </w:rPr>
        <w:t>Goodstanding</w:t>
      </w:r>
      <w:proofErr w:type="spellEnd"/>
      <w:r w:rsidRPr="00AB0F88">
        <w:rPr>
          <w:rFonts w:cs="Tahoma"/>
          <w:sz w:val="24"/>
          <w:szCs w:val="24"/>
        </w:rPr>
        <w:t xml:space="preserve"> certificate.</w:t>
      </w:r>
    </w:p>
    <w:p w14:paraId="39062C57" w14:textId="77777777" w:rsidR="0037503A" w:rsidRDefault="0037503A" w:rsidP="00175991">
      <w:pPr>
        <w:ind w:left="720"/>
        <w:jc w:val="both"/>
        <w:rPr>
          <w:rFonts w:cs="Tahoma"/>
          <w:sz w:val="24"/>
          <w:szCs w:val="24"/>
        </w:rPr>
      </w:pPr>
    </w:p>
    <w:p w14:paraId="3CDFC765" w14:textId="77777777" w:rsidR="0037503A" w:rsidRPr="0037503A" w:rsidRDefault="0037503A" w:rsidP="0037503A">
      <w:pPr>
        <w:pStyle w:val="ListParagraph"/>
        <w:numPr>
          <w:ilvl w:val="0"/>
          <w:numId w:val="14"/>
        </w:numPr>
        <w:shd w:val="clear" w:color="auto" w:fill="FFFFFF"/>
        <w:spacing w:after="0" w:line="240" w:lineRule="auto"/>
        <w:jc w:val="both"/>
        <w:rPr>
          <w:rFonts w:eastAsia="Times New Roman" w:cs="Arial"/>
          <w:color w:val="000000"/>
          <w:sz w:val="24"/>
          <w:szCs w:val="24"/>
          <w:bdr w:val="none" w:sz="0" w:space="0" w:color="auto" w:frame="1"/>
        </w:rPr>
      </w:pPr>
      <w:r>
        <w:rPr>
          <w:rFonts w:eastAsia="Times New Roman" w:cs="Arial"/>
          <w:color w:val="000000"/>
          <w:sz w:val="24"/>
          <w:szCs w:val="24"/>
          <w:bdr w:val="none" w:sz="0" w:space="0" w:color="auto" w:frame="1"/>
        </w:rPr>
        <w:t>T</w:t>
      </w:r>
      <w:r w:rsidRPr="0037503A">
        <w:rPr>
          <w:rFonts w:eastAsia="Times New Roman" w:cs="Arial"/>
          <w:color w:val="000000"/>
          <w:sz w:val="24"/>
          <w:szCs w:val="24"/>
          <w:bdr w:val="none" w:sz="0" w:space="0" w:color="auto" w:frame="1"/>
        </w:rPr>
        <w:t>he Council at its 421</w:t>
      </w:r>
      <w:r w:rsidRPr="0037503A">
        <w:rPr>
          <w:rFonts w:eastAsia="Times New Roman" w:cs="Arial"/>
          <w:color w:val="000000"/>
          <w:sz w:val="24"/>
          <w:szCs w:val="24"/>
          <w:bdr w:val="none" w:sz="0" w:space="0" w:color="auto" w:frame="1"/>
          <w:vertAlign w:val="superscript"/>
        </w:rPr>
        <w:t>st</w:t>
      </w:r>
      <w:r w:rsidRPr="0037503A">
        <w:rPr>
          <w:rFonts w:eastAsia="Times New Roman" w:cs="Arial"/>
          <w:color w:val="000000"/>
          <w:sz w:val="24"/>
          <w:szCs w:val="24"/>
          <w:bdr w:val="none" w:sz="0" w:space="0" w:color="auto" w:frame="1"/>
        </w:rPr>
        <w:t> meeting held on 15th June 2023 approved the following increase in number of Seminars/National Conference/Webinars being organized by Central Committees basis on the </w:t>
      </w:r>
      <w:r w:rsidRPr="0037503A">
        <w:rPr>
          <w:rFonts w:eastAsia="Times New Roman" w:cs="Arial"/>
          <w:b/>
          <w:bCs/>
          <w:color w:val="000000"/>
          <w:sz w:val="24"/>
          <w:szCs w:val="24"/>
          <w:bdr w:val="none" w:sz="0" w:space="0" w:color="auto" w:frame="1"/>
        </w:rPr>
        <w:t>Council Year wise </w:t>
      </w:r>
      <w:r w:rsidRPr="0037503A">
        <w:rPr>
          <w:rFonts w:eastAsia="Times New Roman" w:cs="Arial"/>
          <w:color w:val="000000"/>
          <w:sz w:val="24"/>
          <w:szCs w:val="24"/>
          <w:bdr w:val="none" w:sz="0" w:space="0" w:color="auto" w:frame="1"/>
        </w:rPr>
        <w:t>wherein</w:t>
      </w:r>
      <w:r w:rsidRPr="0037503A">
        <w:rPr>
          <w:rFonts w:eastAsia="Times New Roman" w:cs="Arial"/>
          <w:b/>
          <w:bCs/>
          <w:color w:val="000000"/>
          <w:sz w:val="24"/>
          <w:szCs w:val="24"/>
          <w:bdr w:val="none" w:sz="0" w:space="0" w:color="auto" w:frame="1"/>
        </w:rPr>
        <w:t> </w:t>
      </w:r>
      <w:r>
        <w:rPr>
          <w:rFonts w:eastAsia="Times New Roman" w:cs="Arial"/>
          <w:color w:val="000000"/>
          <w:sz w:val="24"/>
          <w:szCs w:val="24"/>
          <w:bdr w:val="none" w:sz="0" w:space="0" w:color="auto" w:frame="1"/>
        </w:rPr>
        <w:t>earlier it was Calendar</w:t>
      </w:r>
      <w:r w:rsidRPr="0037503A">
        <w:rPr>
          <w:rFonts w:eastAsia="Times New Roman" w:cs="Arial"/>
          <w:color w:val="000000"/>
          <w:sz w:val="24"/>
          <w:szCs w:val="24"/>
          <w:bdr w:val="none" w:sz="0" w:space="0" w:color="auto" w:frame="1"/>
        </w:rPr>
        <w:t xml:space="preserve"> year wise</w:t>
      </w:r>
      <w:r w:rsidRPr="0037503A">
        <w:rPr>
          <w:rFonts w:eastAsia="Times New Roman" w:cs="Arial"/>
          <w:b/>
          <w:bCs/>
          <w:color w:val="000000"/>
          <w:sz w:val="24"/>
          <w:szCs w:val="24"/>
          <w:bdr w:val="none" w:sz="0" w:space="0" w:color="auto" w:frame="1"/>
        </w:rPr>
        <w:t> </w:t>
      </w:r>
      <w:r w:rsidRPr="0037503A">
        <w:rPr>
          <w:rFonts w:eastAsia="Times New Roman" w:cs="Arial"/>
          <w:color w:val="000000"/>
          <w:sz w:val="24"/>
          <w:szCs w:val="24"/>
          <w:bdr w:val="none" w:sz="0" w:space="0" w:color="auto" w:frame="1"/>
        </w:rPr>
        <w:t>(</w:t>
      </w:r>
      <w:r w:rsidRPr="0037503A">
        <w:rPr>
          <w:rFonts w:eastAsia="Times New Roman" w:cs="Arial"/>
          <w:color w:val="000000"/>
          <w:sz w:val="24"/>
          <w:szCs w:val="24"/>
          <w:bdr w:val="none" w:sz="0" w:space="0" w:color="auto" w:frame="1"/>
          <w:shd w:val="clear" w:color="auto" w:fill="FFFFFF"/>
        </w:rPr>
        <w:t>starts from 12</w:t>
      </w:r>
      <w:r w:rsidRPr="0037503A">
        <w:rPr>
          <w:rFonts w:eastAsia="Times New Roman" w:cs="Arial"/>
          <w:color w:val="000000"/>
          <w:sz w:val="24"/>
          <w:szCs w:val="24"/>
          <w:bdr w:val="none" w:sz="0" w:space="0" w:color="auto" w:frame="1"/>
          <w:shd w:val="clear" w:color="auto" w:fill="FFFFFF"/>
          <w:vertAlign w:val="superscript"/>
        </w:rPr>
        <w:t>th</w:t>
      </w:r>
      <w:r w:rsidRPr="0037503A">
        <w:rPr>
          <w:rFonts w:eastAsia="Times New Roman" w:cs="Arial"/>
          <w:color w:val="000000"/>
          <w:sz w:val="24"/>
          <w:szCs w:val="24"/>
          <w:bdr w:val="none" w:sz="0" w:space="0" w:color="auto" w:frame="1"/>
          <w:shd w:val="clear" w:color="auto" w:fill="FFFFFF"/>
        </w:rPr>
        <w:t> Feb 2023</w:t>
      </w:r>
      <w:r w:rsidRPr="0037503A">
        <w:rPr>
          <w:rFonts w:eastAsia="Times New Roman" w:cs="Arial"/>
          <w:color w:val="000000"/>
          <w:sz w:val="24"/>
          <w:szCs w:val="24"/>
          <w:bdr w:val="none" w:sz="0" w:space="0" w:color="auto" w:frame="1"/>
        </w:rPr>
        <w:t> for 1 year). Now the revised allowed count for such CPE Events are as follows: </w:t>
      </w:r>
    </w:p>
    <w:p w14:paraId="6FF13399" w14:textId="77777777" w:rsidR="0037503A" w:rsidRPr="0037503A" w:rsidRDefault="0037503A" w:rsidP="0037503A">
      <w:pPr>
        <w:shd w:val="clear" w:color="auto" w:fill="FFFFFF"/>
        <w:spacing w:after="0" w:line="240" w:lineRule="auto"/>
        <w:jc w:val="both"/>
        <w:rPr>
          <w:rFonts w:eastAsia="Times New Roman" w:cs="Times New Roman"/>
          <w:color w:val="000000"/>
          <w:sz w:val="24"/>
          <w:szCs w:val="24"/>
        </w:rPr>
      </w:pPr>
    </w:p>
    <w:p w14:paraId="1355607B" w14:textId="77777777" w:rsidR="0037503A" w:rsidRPr="0037503A" w:rsidRDefault="0037503A" w:rsidP="0037503A">
      <w:pPr>
        <w:numPr>
          <w:ilvl w:val="0"/>
          <w:numId w:val="18"/>
        </w:numPr>
        <w:shd w:val="clear" w:color="auto" w:fill="FFFFFF"/>
        <w:spacing w:after="0" w:line="240" w:lineRule="auto"/>
        <w:jc w:val="both"/>
        <w:rPr>
          <w:rFonts w:eastAsia="Times New Roman" w:cs="Arial"/>
          <w:color w:val="000000"/>
          <w:sz w:val="24"/>
          <w:szCs w:val="24"/>
        </w:rPr>
      </w:pPr>
      <w:r w:rsidRPr="0037503A">
        <w:rPr>
          <w:rFonts w:eastAsia="Times New Roman" w:cs="Arial"/>
          <w:color w:val="000000"/>
          <w:sz w:val="24"/>
          <w:szCs w:val="24"/>
          <w:bdr w:val="none" w:sz="0" w:space="0" w:color="auto" w:frame="1"/>
        </w:rPr>
        <w:t>A Committee of the Central Council can organize </w:t>
      </w:r>
      <w:r w:rsidRPr="0037503A">
        <w:rPr>
          <w:rFonts w:eastAsia="Times New Roman" w:cs="Arial"/>
          <w:b/>
          <w:bCs/>
          <w:color w:val="000000"/>
          <w:sz w:val="24"/>
          <w:szCs w:val="24"/>
          <w:bdr w:val="none" w:sz="0" w:space="0" w:color="auto" w:frame="1"/>
        </w:rPr>
        <w:t>5 National Conferences</w:t>
      </w:r>
      <w:r w:rsidRPr="0037503A">
        <w:rPr>
          <w:rFonts w:eastAsia="Times New Roman" w:cs="Arial"/>
          <w:color w:val="000000"/>
          <w:sz w:val="24"/>
          <w:szCs w:val="24"/>
          <w:bdr w:val="none" w:sz="0" w:space="0" w:color="auto" w:frame="1"/>
        </w:rPr>
        <w:t> (earlier it was 3) in each region during a Council Year. </w:t>
      </w:r>
    </w:p>
    <w:p w14:paraId="4D6317BD" w14:textId="77777777" w:rsidR="0037503A" w:rsidRPr="0037503A" w:rsidRDefault="0037503A" w:rsidP="0037503A">
      <w:pPr>
        <w:shd w:val="clear" w:color="auto" w:fill="FFFFFF"/>
        <w:spacing w:after="0" w:line="240" w:lineRule="auto"/>
        <w:ind w:left="720"/>
        <w:jc w:val="both"/>
        <w:rPr>
          <w:rFonts w:eastAsia="Times New Roman" w:cs="Arial"/>
          <w:color w:val="000000"/>
          <w:sz w:val="24"/>
          <w:szCs w:val="24"/>
        </w:rPr>
      </w:pPr>
    </w:p>
    <w:p w14:paraId="6D928B51" w14:textId="77777777" w:rsidR="0037503A" w:rsidRPr="0037503A" w:rsidRDefault="0037503A" w:rsidP="0037503A">
      <w:pPr>
        <w:numPr>
          <w:ilvl w:val="0"/>
          <w:numId w:val="18"/>
        </w:numPr>
        <w:shd w:val="clear" w:color="auto" w:fill="FFFFFF"/>
        <w:spacing w:after="0" w:line="240" w:lineRule="auto"/>
        <w:jc w:val="both"/>
        <w:rPr>
          <w:rFonts w:eastAsia="Times New Roman" w:cs="Arial"/>
          <w:color w:val="000000"/>
          <w:sz w:val="24"/>
          <w:szCs w:val="24"/>
        </w:rPr>
      </w:pPr>
      <w:r w:rsidRPr="0037503A">
        <w:rPr>
          <w:rFonts w:eastAsia="Times New Roman" w:cs="Arial"/>
          <w:color w:val="000000"/>
          <w:sz w:val="24"/>
          <w:szCs w:val="24"/>
          <w:bdr w:val="none" w:sz="0" w:space="0" w:color="auto" w:frame="1"/>
        </w:rPr>
        <w:t>A Committee of the Central Council can organize </w:t>
      </w:r>
      <w:r w:rsidRPr="0037503A">
        <w:rPr>
          <w:rFonts w:eastAsia="Times New Roman" w:cs="Arial"/>
          <w:b/>
          <w:bCs/>
          <w:color w:val="000000"/>
          <w:sz w:val="24"/>
          <w:szCs w:val="24"/>
          <w:bdr w:val="none" w:sz="0" w:space="0" w:color="auto" w:frame="1"/>
        </w:rPr>
        <w:t>10 Seminars </w:t>
      </w:r>
      <w:r w:rsidRPr="0037503A">
        <w:rPr>
          <w:rFonts w:eastAsia="Times New Roman" w:cs="Arial"/>
          <w:color w:val="000000"/>
          <w:sz w:val="24"/>
          <w:szCs w:val="24"/>
          <w:bdr w:val="none" w:sz="0" w:space="0" w:color="auto" w:frame="1"/>
        </w:rPr>
        <w:t>(earlier it was 5) in each region during a Council Year. It may be noted again that, </w:t>
      </w:r>
      <w:r w:rsidRPr="0037503A">
        <w:rPr>
          <w:rFonts w:eastAsia="Times New Roman" w:cs="Arial"/>
          <w:b/>
          <w:bCs/>
          <w:color w:val="000000"/>
          <w:sz w:val="24"/>
          <w:szCs w:val="24"/>
          <w:bdr w:val="none" w:sz="0" w:space="0" w:color="auto" w:frame="1"/>
        </w:rPr>
        <w:t xml:space="preserve">RRC </w:t>
      </w:r>
      <w:proofErr w:type="spellStart"/>
      <w:r w:rsidRPr="0037503A">
        <w:rPr>
          <w:rFonts w:eastAsia="Times New Roman" w:cs="Arial"/>
          <w:b/>
          <w:bCs/>
          <w:color w:val="000000"/>
          <w:sz w:val="24"/>
          <w:szCs w:val="24"/>
          <w:bdr w:val="none" w:sz="0" w:space="0" w:color="auto" w:frame="1"/>
        </w:rPr>
        <w:t>organised</w:t>
      </w:r>
      <w:proofErr w:type="spellEnd"/>
      <w:r w:rsidRPr="0037503A">
        <w:rPr>
          <w:rFonts w:eastAsia="Times New Roman" w:cs="Arial"/>
          <w:b/>
          <w:bCs/>
          <w:color w:val="000000"/>
          <w:sz w:val="24"/>
          <w:szCs w:val="24"/>
          <w:bdr w:val="none" w:sz="0" w:space="0" w:color="auto" w:frame="1"/>
        </w:rPr>
        <w:t xml:space="preserve"> by any committee</w:t>
      </w:r>
      <w:r w:rsidRPr="0037503A">
        <w:rPr>
          <w:rFonts w:eastAsia="Times New Roman" w:cs="Arial"/>
          <w:color w:val="000000"/>
          <w:sz w:val="24"/>
          <w:szCs w:val="24"/>
          <w:bdr w:val="none" w:sz="0" w:space="0" w:color="auto" w:frame="1"/>
        </w:rPr>
        <w:t xml:space="preserve"> will be considered as a seminar and would be counted in total limit of seminar allowed to a </w:t>
      </w:r>
      <w:proofErr w:type="gramStart"/>
      <w:r w:rsidRPr="0037503A">
        <w:rPr>
          <w:rFonts w:eastAsia="Times New Roman" w:cs="Arial"/>
          <w:color w:val="000000"/>
          <w:sz w:val="24"/>
          <w:szCs w:val="24"/>
          <w:bdr w:val="none" w:sz="0" w:space="0" w:color="auto" w:frame="1"/>
        </w:rPr>
        <w:t>Committee</w:t>
      </w:r>
      <w:proofErr w:type="gramEnd"/>
      <w:r w:rsidRPr="0037503A">
        <w:rPr>
          <w:rFonts w:eastAsia="Times New Roman" w:cs="Arial"/>
          <w:color w:val="000000"/>
          <w:sz w:val="24"/>
          <w:szCs w:val="24"/>
          <w:bdr w:val="none" w:sz="0" w:space="0" w:color="auto" w:frame="1"/>
        </w:rPr>
        <w:t xml:space="preserve"> in a council year. A CPE </w:t>
      </w:r>
      <w:proofErr w:type="spellStart"/>
      <w:r w:rsidRPr="0037503A">
        <w:rPr>
          <w:rFonts w:eastAsia="Times New Roman" w:cs="Arial"/>
          <w:color w:val="000000"/>
          <w:sz w:val="24"/>
          <w:szCs w:val="24"/>
          <w:bdr w:val="none" w:sz="0" w:space="0" w:color="auto" w:frame="1"/>
        </w:rPr>
        <w:t>programme</w:t>
      </w:r>
      <w:proofErr w:type="spellEnd"/>
      <w:r w:rsidRPr="0037503A">
        <w:rPr>
          <w:rFonts w:eastAsia="Times New Roman" w:cs="Arial"/>
          <w:color w:val="000000"/>
          <w:sz w:val="24"/>
          <w:szCs w:val="24"/>
          <w:bdr w:val="none" w:sz="0" w:space="0" w:color="auto" w:frame="1"/>
        </w:rPr>
        <w:t xml:space="preserve"> (including RRC) of the Committee of the Central Council shall always be hosted by the Regional Council, or a Branch concerned where the </w:t>
      </w:r>
      <w:proofErr w:type="spellStart"/>
      <w:r w:rsidRPr="0037503A">
        <w:rPr>
          <w:rFonts w:eastAsia="Times New Roman" w:cs="Arial"/>
          <w:color w:val="000000"/>
          <w:sz w:val="24"/>
          <w:szCs w:val="24"/>
          <w:bdr w:val="none" w:sz="0" w:space="0" w:color="auto" w:frame="1"/>
        </w:rPr>
        <w:t>programme</w:t>
      </w:r>
      <w:proofErr w:type="spellEnd"/>
      <w:r w:rsidRPr="0037503A">
        <w:rPr>
          <w:rFonts w:eastAsia="Times New Roman" w:cs="Arial"/>
          <w:color w:val="000000"/>
          <w:sz w:val="24"/>
          <w:szCs w:val="24"/>
          <w:bdr w:val="none" w:sz="0" w:space="0" w:color="auto" w:frame="1"/>
        </w:rPr>
        <w:t xml:space="preserve"> is physically </w:t>
      </w:r>
      <w:proofErr w:type="spellStart"/>
      <w:r w:rsidRPr="0037503A">
        <w:rPr>
          <w:rFonts w:eastAsia="Times New Roman" w:cs="Arial"/>
          <w:color w:val="000000"/>
          <w:sz w:val="24"/>
          <w:szCs w:val="24"/>
          <w:bdr w:val="none" w:sz="0" w:space="0" w:color="auto" w:frame="1"/>
        </w:rPr>
        <w:t>organised</w:t>
      </w:r>
      <w:proofErr w:type="spellEnd"/>
      <w:r w:rsidRPr="0037503A">
        <w:rPr>
          <w:rFonts w:eastAsia="Times New Roman" w:cs="Arial"/>
          <w:color w:val="000000"/>
          <w:sz w:val="24"/>
          <w:szCs w:val="24"/>
          <w:bdr w:val="none" w:sz="0" w:space="0" w:color="auto" w:frame="1"/>
        </w:rPr>
        <w:t xml:space="preserve"> by the Committee. </w:t>
      </w:r>
    </w:p>
    <w:p w14:paraId="29F7A494" w14:textId="77777777" w:rsidR="0037503A" w:rsidRPr="0037503A" w:rsidRDefault="0037503A" w:rsidP="0037503A">
      <w:pPr>
        <w:shd w:val="clear" w:color="auto" w:fill="FFFFFF"/>
        <w:spacing w:after="0" w:line="240" w:lineRule="auto"/>
        <w:jc w:val="both"/>
        <w:rPr>
          <w:rFonts w:eastAsia="Times New Roman" w:cs="Arial"/>
          <w:color w:val="000000"/>
          <w:sz w:val="24"/>
          <w:szCs w:val="24"/>
        </w:rPr>
      </w:pPr>
    </w:p>
    <w:p w14:paraId="1C7188E0" w14:textId="77777777" w:rsidR="0037503A" w:rsidRPr="0037503A" w:rsidRDefault="0037503A" w:rsidP="0037503A">
      <w:pPr>
        <w:numPr>
          <w:ilvl w:val="0"/>
          <w:numId w:val="18"/>
        </w:numPr>
        <w:shd w:val="clear" w:color="auto" w:fill="FFFFFF"/>
        <w:spacing w:after="0" w:line="240" w:lineRule="auto"/>
        <w:jc w:val="both"/>
        <w:textAlignment w:val="baseline"/>
        <w:rPr>
          <w:rFonts w:eastAsia="Times New Roman" w:cs="Arial"/>
          <w:color w:val="000000"/>
          <w:sz w:val="24"/>
          <w:szCs w:val="24"/>
        </w:rPr>
      </w:pPr>
      <w:r w:rsidRPr="0037503A">
        <w:rPr>
          <w:rFonts w:eastAsia="Times New Roman" w:cs="Arial"/>
          <w:color w:val="000000"/>
          <w:sz w:val="24"/>
          <w:szCs w:val="24"/>
          <w:bdr w:val="none" w:sz="0" w:space="0" w:color="auto" w:frame="1"/>
        </w:rPr>
        <w:t>Central Committees may organize </w:t>
      </w:r>
      <w:proofErr w:type="gramStart"/>
      <w:r w:rsidRPr="0037503A">
        <w:rPr>
          <w:rFonts w:eastAsia="Times New Roman" w:cs="Arial"/>
          <w:color w:val="000000"/>
          <w:sz w:val="24"/>
          <w:szCs w:val="24"/>
          <w:bdr w:val="none" w:sz="0" w:space="0" w:color="auto" w:frame="1"/>
        </w:rPr>
        <w:t>maximum</w:t>
      </w:r>
      <w:proofErr w:type="gramEnd"/>
      <w:r w:rsidRPr="0037503A">
        <w:rPr>
          <w:rFonts w:eastAsia="Times New Roman" w:cs="Arial"/>
          <w:b/>
          <w:bCs/>
          <w:color w:val="000000"/>
          <w:sz w:val="24"/>
          <w:szCs w:val="24"/>
          <w:bdr w:val="none" w:sz="0" w:space="0" w:color="auto" w:frame="1"/>
        </w:rPr>
        <w:t> 5 Webinars</w:t>
      </w:r>
      <w:r w:rsidRPr="0037503A">
        <w:rPr>
          <w:rFonts w:eastAsia="Times New Roman" w:cs="Arial"/>
          <w:color w:val="000000"/>
          <w:sz w:val="24"/>
          <w:szCs w:val="24"/>
          <w:bdr w:val="none" w:sz="0" w:space="0" w:color="auto" w:frame="1"/>
        </w:rPr>
        <w:t> (Unstructured CPE Hours) </w:t>
      </w:r>
      <w:r w:rsidRPr="0037503A">
        <w:rPr>
          <w:rFonts w:eastAsia="Times New Roman" w:cs="Arial"/>
          <w:color w:val="000000"/>
          <w:sz w:val="24"/>
          <w:szCs w:val="24"/>
          <w:bdr w:val="none" w:sz="0" w:space="0" w:color="auto" w:frame="1"/>
          <w:shd w:val="clear" w:color="auto" w:fill="FFFFFF"/>
        </w:rPr>
        <w:t>(Earlier it was 2) </w:t>
      </w:r>
      <w:r w:rsidRPr="0037503A">
        <w:rPr>
          <w:rFonts w:eastAsia="Times New Roman" w:cs="Arial"/>
          <w:color w:val="000000"/>
          <w:sz w:val="24"/>
          <w:szCs w:val="24"/>
          <w:bdr w:val="none" w:sz="0" w:space="0" w:color="auto" w:frame="1"/>
        </w:rPr>
        <w:t>in a Calendar month. Further, as approved b</w:t>
      </w:r>
      <w:r w:rsidR="007D2469">
        <w:rPr>
          <w:rFonts w:eastAsia="Times New Roman" w:cs="Arial"/>
          <w:color w:val="000000"/>
          <w:sz w:val="24"/>
          <w:szCs w:val="24"/>
          <w:bdr w:val="none" w:sz="0" w:space="0" w:color="auto" w:frame="1"/>
        </w:rPr>
        <w:t>y the Council, Committees will u</w:t>
      </w:r>
      <w:r w:rsidRPr="0037503A">
        <w:rPr>
          <w:rFonts w:eastAsia="Times New Roman" w:cs="Arial"/>
          <w:color w:val="000000"/>
          <w:sz w:val="24"/>
          <w:szCs w:val="24"/>
          <w:bdr w:val="none" w:sz="0" w:space="0" w:color="auto" w:frame="1"/>
        </w:rPr>
        <w:t xml:space="preserve">pload the unstructured CPE learning of the members who attended Webcast/Webinar after completion of the </w:t>
      </w:r>
      <w:proofErr w:type="spellStart"/>
      <w:r w:rsidRPr="0037503A">
        <w:rPr>
          <w:rFonts w:eastAsia="Times New Roman" w:cs="Arial"/>
          <w:color w:val="000000"/>
          <w:sz w:val="24"/>
          <w:szCs w:val="24"/>
          <w:bdr w:val="none" w:sz="0" w:space="0" w:color="auto" w:frame="1"/>
        </w:rPr>
        <w:t>programme</w:t>
      </w:r>
      <w:proofErr w:type="spellEnd"/>
      <w:r w:rsidRPr="0037503A">
        <w:rPr>
          <w:rFonts w:eastAsia="Times New Roman" w:cs="Arial"/>
          <w:color w:val="000000"/>
          <w:sz w:val="24"/>
          <w:szCs w:val="24"/>
          <w:bdr w:val="none" w:sz="0" w:space="0" w:color="auto" w:frame="1"/>
        </w:rPr>
        <w:t xml:space="preserve"> and member will not claim its unstructured CPE learning by their own. This Functionality will be removed from self-declaration form for claiming ULA by members. </w:t>
      </w:r>
    </w:p>
    <w:p w14:paraId="4A9CBB50" w14:textId="77777777" w:rsidR="0037503A" w:rsidRPr="00AB0F88" w:rsidRDefault="0037503A" w:rsidP="0037503A">
      <w:pPr>
        <w:jc w:val="both"/>
        <w:rPr>
          <w:rFonts w:cs="Tahoma"/>
          <w:sz w:val="24"/>
          <w:szCs w:val="24"/>
        </w:rPr>
      </w:pPr>
    </w:p>
    <w:sectPr w:rsidR="0037503A" w:rsidRPr="00AB0F88" w:rsidSect="00671E99">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504B" w14:textId="77777777" w:rsidR="00F70EA9" w:rsidRDefault="00F70EA9" w:rsidP="007B0557">
      <w:pPr>
        <w:spacing w:after="0" w:line="240" w:lineRule="auto"/>
      </w:pPr>
      <w:r>
        <w:separator/>
      </w:r>
    </w:p>
  </w:endnote>
  <w:endnote w:type="continuationSeparator" w:id="0">
    <w:p w14:paraId="6FD75D77" w14:textId="77777777" w:rsidR="00F70EA9" w:rsidRDefault="00F70EA9" w:rsidP="007B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42E6" w14:textId="77777777" w:rsidR="00F70EA9" w:rsidRDefault="00F70EA9" w:rsidP="007B0557">
      <w:pPr>
        <w:spacing w:after="0" w:line="240" w:lineRule="auto"/>
      </w:pPr>
      <w:r>
        <w:separator/>
      </w:r>
    </w:p>
  </w:footnote>
  <w:footnote w:type="continuationSeparator" w:id="0">
    <w:p w14:paraId="460B386C" w14:textId="77777777" w:rsidR="00F70EA9" w:rsidRDefault="00F70EA9" w:rsidP="007B0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5F6"/>
    <w:multiLevelType w:val="hybridMultilevel"/>
    <w:tmpl w:val="A152311A"/>
    <w:lvl w:ilvl="0" w:tplc="28049966">
      <w:start w:val="1"/>
      <w:numFmt w:val="lowerLetter"/>
      <w:lvlText w:val="%1)"/>
      <w:lvlJc w:val="left"/>
      <w:pPr>
        <w:ind w:left="1080" w:hanging="360"/>
      </w:pPr>
      <w:rPr>
        <w:rFonts w:ascii="Calibri" w:hAnsi="Calibri" w:cstheme="minorBidi" w:hint="default"/>
        <w:i w:val="0"/>
        <w:color w:val="000000"/>
        <w:sz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17034BD"/>
    <w:multiLevelType w:val="multilevel"/>
    <w:tmpl w:val="903820EC"/>
    <w:lvl w:ilvl="0">
      <w:start w:val="1"/>
      <w:numFmt w:val="decimal"/>
      <w:lvlText w:val="%1."/>
      <w:lvlJc w:val="left"/>
      <w:pPr>
        <w:tabs>
          <w:tab w:val="num" w:pos="1440"/>
        </w:tabs>
        <w:ind w:left="1440" w:hanging="360"/>
      </w:pPr>
    </w:lvl>
    <w:lvl w:ilvl="1">
      <w:start w:val="1"/>
      <w:numFmt w:val="upp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191136B"/>
    <w:multiLevelType w:val="hybridMultilevel"/>
    <w:tmpl w:val="E1A64B02"/>
    <w:lvl w:ilvl="0" w:tplc="1D4A093C">
      <w:start w:val="1"/>
      <w:numFmt w:val="lowerRoman"/>
      <w:lvlText w:val="(%1)"/>
      <w:lvlJc w:val="left"/>
      <w:pPr>
        <w:ind w:left="1080" w:hanging="360"/>
      </w:pPr>
      <w:rPr>
        <w:rFonts w:asciiTheme="minorHAnsi" w:eastAsiaTheme="minorHAnsi" w:hAnsiTheme="minorHAnsi" w:cs="Tahom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47800C6"/>
    <w:multiLevelType w:val="hybridMultilevel"/>
    <w:tmpl w:val="778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01F8"/>
    <w:multiLevelType w:val="hybridMultilevel"/>
    <w:tmpl w:val="960AAD54"/>
    <w:lvl w:ilvl="0" w:tplc="AECA0F7E">
      <w:start w:val="1"/>
      <w:numFmt w:val="lowerRoman"/>
      <w:lvlText w:val="(%1)"/>
      <w:lvlJc w:val="left"/>
      <w:pPr>
        <w:ind w:left="1080" w:hanging="72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D7AEF"/>
    <w:multiLevelType w:val="hybridMultilevel"/>
    <w:tmpl w:val="10D28C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BDA6D65"/>
    <w:multiLevelType w:val="hybridMultilevel"/>
    <w:tmpl w:val="2578F1D4"/>
    <w:lvl w:ilvl="0" w:tplc="26EA67A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86637F"/>
    <w:multiLevelType w:val="hybridMultilevel"/>
    <w:tmpl w:val="02DE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008B0"/>
    <w:multiLevelType w:val="multilevel"/>
    <w:tmpl w:val="E9DE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9668D6"/>
    <w:multiLevelType w:val="hybridMultilevel"/>
    <w:tmpl w:val="5756DEB2"/>
    <w:lvl w:ilvl="0" w:tplc="9D3A47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13913"/>
    <w:multiLevelType w:val="hybridMultilevel"/>
    <w:tmpl w:val="8788DD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1A44786"/>
    <w:multiLevelType w:val="hybridMultilevel"/>
    <w:tmpl w:val="10085BFA"/>
    <w:lvl w:ilvl="0" w:tplc="04090017">
      <w:start w:val="1"/>
      <w:numFmt w:val="lowerLetter"/>
      <w:lvlText w:val="%1)"/>
      <w:lvlJc w:val="left"/>
      <w:pPr>
        <w:ind w:left="2561" w:hanging="360"/>
      </w:pPr>
      <w:rPr>
        <w:rFonts w:hint="default"/>
      </w:rPr>
    </w:lvl>
    <w:lvl w:ilvl="1" w:tplc="40090019" w:tentative="1">
      <w:start w:val="1"/>
      <w:numFmt w:val="lowerLetter"/>
      <w:lvlText w:val="%2."/>
      <w:lvlJc w:val="left"/>
      <w:pPr>
        <w:ind w:left="3281" w:hanging="360"/>
      </w:pPr>
    </w:lvl>
    <w:lvl w:ilvl="2" w:tplc="4009001B" w:tentative="1">
      <w:start w:val="1"/>
      <w:numFmt w:val="lowerRoman"/>
      <w:lvlText w:val="%3."/>
      <w:lvlJc w:val="right"/>
      <w:pPr>
        <w:ind w:left="4001" w:hanging="180"/>
      </w:pPr>
    </w:lvl>
    <w:lvl w:ilvl="3" w:tplc="4009000F" w:tentative="1">
      <w:start w:val="1"/>
      <w:numFmt w:val="decimal"/>
      <w:lvlText w:val="%4."/>
      <w:lvlJc w:val="left"/>
      <w:pPr>
        <w:ind w:left="4721" w:hanging="360"/>
      </w:pPr>
    </w:lvl>
    <w:lvl w:ilvl="4" w:tplc="40090019" w:tentative="1">
      <w:start w:val="1"/>
      <w:numFmt w:val="lowerLetter"/>
      <w:lvlText w:val="%5."/>
      <w:lvlJc w:val="left"/>
      <w:pPr>
        <w:ind w:left="5441" w:hanging="360"/>
      </w:pPr>
    </w:lvl>
    <w:lvl w:ilvl="5" w:tplc="4009001B" w:tentative="1">
      <w:start w:val="1"/>
      <w:numFmt w:val="lowerRoman"/>
      <w:lvlText w:val="%6."/>
      <w:lvlJc w:val="right"/>
      <w:pPr>
        <w:ind w:left="6161" w:hanging="180"/>
      </w:pPr>
    </w:lvl>
    <w:lvl w:ilvl="6" w:tplc="4009000F" w:tentative="1">
      <w:start w:val="1"/>
      <w:numFmt w:val="decimal"/>
      <w:lvlText w:val="%7."/>
      <w:lvlJc w:val="left"/>
      <w:pPr>
        <w:ind w:left="6881" w:hanging="360"/>
      </w:pPr>
    </w:lvl>
    <w:lvl w:ilvl="7" w:tplc="40090019" w:tentative="1">
      <w:start w:val="1"/>
      <w:numFmt w:val="lowerLetter"/>
      <w:lvlText w:val="%8."/>
      <w:lvlJc w:val="left"/>
      <w:pPr>
        <w:ind w:left="7601" w:hanging="360"/>
      </w:pPr>
    </w:lvl>
    <w:lvl w:ilvl="8" w:tplc="4009001B" w:tentative="1">
      <w:start w:val="1"/>
      <w:numFmt w:val="lowerRoman"/>
      <w:lvlText w:val="%9."/>
      <w:lvlJc w:val="right"/>
      <w:pPr>
        <w:ind w:left="8321" w:hanging="180"/>
      </w:pPr>
    </w:lvl>
  </w:abstractNum>
  <w:abstractNum w:abstractNumId="12" w15:restartNumberingAfterBreak="0">
    <w:nsid w:val="525970A9"/>
    <w:multiLevelType w:val="multilevel"/>
    <w:tmpl w:val="CAAE02E6"/>
    <w:lvl w:ilvl="0">
      <w:start w:val="1"/>
      <w:numFmt w:val="lowerRoman"/>
      <w:lvlText w:val="(%1)"/>
      <w:lvlJc w:val="left"/>
      <w:pPr>
        <w:tabs>
          <w:tab w:val="num" w:pos="720"/>
        </w:tabs>
        <w:ind w:left="720" w:hanging="360"/>
      </w:pPr>
      <w:rPr>
        <w:rFonts w:eastAsia="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B47E4"/>
    <w:multiLevelType w:val="hybridMultilevel"/>
    <w:tmpl w:val="0782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B6105B"/>
    <w:multiLevelType w:val="hybridMultilevel"/>
    <w:tmpl w:val="6B9E1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38D5538"/>
    <w:multiLevelType w:val="hybridMultilevel"/>
    <w:tmpl w:val="AAA288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6B560359"/>
    <w:multiLevelType w:val="multilevel"/>
    <w:tmpl w:val="D518B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846036"/>
    <w:multiLevelType w:val="hybridMultilevel"/>
    <w:tmpl w:val="D37E00F4"/>
    <w:lvl w:ilvl="0" w:tplc="D3482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3374B"/>
    <w:multiLevelType w:val="hybridMultilevel"/>
    <w:tmpl w:val="503C6A9E"/>
    <w:lvl w:ilvl="0" w:tplc="40090015">
      <w:start w:val="1"/>
      <w:numFmt w:val="upperLetter"/>
      <w:lvlText w:val="%1."/>
      <w:lvlJc w:val="left"/>
      <w:pPr>
        <w:ind w:left="720" w:hanging="360"/>
      </w:pPr>
      <w:rPr>
        <w:rFonts w:eastAsia="Times New Roman"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4412160">
    <w:abstractNumId w:val="7"/>
  </w:num>
  <w:num w:numId="2" w16cid:durableId="640116153">
    <w:abstractNumId w:val="2"/>
  </w:num>
  <w:num w:numId="3" w16cid:durableId="1711563133">
    <w:abstractNumId w:val="17"/>
  </w:num>
  <w:num w:numId="4" w16cid:durableId="1314214740">
    <w:abstractNumId w:val="0"/>
  </w:num>
  <w:num w:numId="5" w16cid:durableId="467358386">
    <w:abstractNumId w:val="3"/>
  </w:num>
  <w:num w:numId="6" w16cid:durableId="1828789814">
    <w:abstractNumId w:val="9"/>
  </w:num>
  <w:num w:numId="7" w16cid:durableId="1656840398">
    <w:abstractNumId w:val="11"/>
  </w:num>
  <w:num w:numId="8" w16cid:durableId="567612255">
    <w:abstractNumId w:val="10"/>
  </w:num>
  <w:num w:numId="9" w16cid:durableId="159975733">
    <w:abstractNumId w:val="15"/>
  </w:num>
  <w:num w:numId="10" w16cid:durableId="1612862115">
    <w:abstractNumId w:val="1"/>
  </w:num>
  <w:num w:numId="11" w16cid:durableId="1496652518">
    <w:abstractNumId w:val="6"/>
  </w:num>
  <w:num w:numId="12" w16cid:durableId="890000672">
    <w:abstractNumId w:val="14"/>
  </w:num>
  <w:num w:numId="13" w16cid:durableId="1220942020">
    <w:abstractNumId w:val="16"/>
  </w:num>
  <w:num w:numId="14" w16cid:durableId="1416783279">
    <w:abstractNumId w:val="13"/>
  </w:num>
  <w:num w:numId="15" w16cid:durableId="1555119904">
    <w:abstractNumId w:val="8"/>
  </w:num>
  <w:num w:numId="16" w16cid:durableId="1132987969">
    <w:abstractNumId w:val="5"/>
  </w:num>
  <w:num w:numId="17" w16cid:durableId="1009723567">
    <w:abstractNumId w:val="18"/>
  </w:num>
  <w:num w:numId="18" w16cid:durableId="264582399">
    <w:abstractNumId w:val="12"/>
  </w:num>
  <w:num w:numId="19" w16cid:durableId="485512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B4"/>
    <w:rsid w:val="00040D1D"/>
    <w:rsid w:val="00063476"/>
    <w:rsid w:val="000738CB"/>
    <w:rsid w:val="0009350D"/>
    <w:rsid w:val="000D6D4C"/>
    <w:rsid w:val="00100AC2"/>
    <w:rsid w:val="00175991"/>
    <w:rsid w:val="0019232B"/>
    <w:rsid w:val="001A779E"/>
    <w:rsid w:val="001B6F45"/>
    <w:rsid w:val="0023762F"/>
    <w:rsid w:val="002643C0"/>
    <w:rsid w:val="002A5B35"/>
    <w:rsid w:val="002C2A7B"/>
    <w:rsid w:val="00353D44"/>
    <w:rsid w:val="0037503A"/>
    <w:rsid w:val="003C233B"/>
    <w:rsid w:val="00411DA1"/>
    <w:rsid w:val="004A1046"/>
    <w:rsid w:val="004A1D08"/>
    <w:rsid w:val="00510AEF"/>
    <w:rsid w:val="0051378A"/>
    <w:rsid w:val="00544419"/>
    <w:rsid w:val="005C171B"/>
    <w:rsid w:val="005C74F9"/>
    <w:rsid w:val="00611D2D"/>
    <w:rsid w:val="006207E1"/>
    <w:rsid w:val="00645AE1"/>
    <w:rsid w:val="00671E99"/>
    <w:rsid w:val="00690A5A"/>
    <w:rsid w:val="0069446F"/>
    <w:rsid w:val="006C57B4"/>
    <w:rsid w:val="00725F33"/>
    <w:rsid w:val="00733CFA"/>
    <w:rsid w:val="007B0557"/>
    <w:rsid w:val="007D1357"/>
    <w:rsid w:val="007D2469"/>
    <w:rsid w:val="007F3088"/>
    <w:rsid w:val="00860CFE"/>
    <w:rsid w:val="008740E1"/>
    <w:rsid w:val="008A1B7F"/>
    <w:rsid w:val="008D0C96"/>
    <w:rsid w:val="00911E52"/>
    <w:rsid w:val="00922B10"/>
    <w:rsid w:val="00970631"/>
    <w:rsid w:val="00982E53"/>
    <w:rsid w:val="009A21DF"/>
    <w:rsid w:val="00A12B86"/>
    <w:rsid w:val="00A15D89"/>
    <w:rsid w:val="00A36FE9"/>
    <w:rsid w:val="00A645E8"/>
    <w:rsid w:val="00A666D1"/>
    <w:rsid w:val="00A74753"/>
    <w:rsid w:val="00AB0F88"/>
    <w:rsid w:val="00AC0EFA"/>
    <w:rsid w:val="00AD3AAD"/>
    <w:rsid w:val="00AD643E"/>
    <w:rsid w:val="00B2490D"/>
    <w:rsid w:val="00B5094F"/>
    <w:rsid w:val="00B6677A"/>
    <w:rsid w:val="00B907B1"/>
    <w:rsid w:val="00BB461A"/>
    <w:rsid w:val="00BD1B1E"/>
    <w:rsid w:val="00D1587E"/>
    <w:rsid w:val="00D512F9"/>
    <w:rsid w:val="00D6470B"/>
    <w:rsid w:val="00D73E9E"/>
    <w:rsid w:val="00E70BD9"/>
    <w:rsid w:val="00EB0C86"/>
    <w:rsid w:val="00ED0249"/>
    <w:rsid w:val="00EE3F00"/>
    <w:rsid w:val="00F00A76"/>
    <w:rsid w:val="00F07F3A"/>
    <w:rsid w:val="00F17024"/>
    <w:rsid w:val="00F24FE7"/>
    <w:rsid w:val="00F412AF"/>
    <w:rsid w:val="00F70EA9"/>
    <w:rsid w:val="00F7330A"/>
    <w:rsid w:val="00F74D84"/>
    <w:rsid w:val="00FA40BF"/>
    <w:rsid w:val="00FA50EB"/>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235A"/>
  <w15:docId w15:val="{8D00F5DB-DCB0-4613-AEFA-CB3225B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970631"/>
    <w:pPr>
      <w:ind w:left="720"/>
      <w:contextualSpacing/>
    </w:pPr>
  </w:style>
  <w:style w:type="table" w:styleId="TableGrid">
    <w:name w:val="Table Grid"/>
    <w:basedOn w:val="TableNormal"/>
    <w:uiPriority w:val="59"/>
    <w:rsid w:val="00970631"/>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970631"/>
  </w:style>
  <w:style w:type="paragraph" w:styleId="FootnoteText">
    <w:name w:val="footnote text"/>
    <w:basedOn w:val="Normal"/>
    <w:link w:val="FootnoteTextChar"/>
    <w:rsid w:val="007B05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B0557"/>
    <w:rPr>
      <w:rFonts w:ascii="Times New Roman" w:eastAsia="Times New Roman" w:hAnsi="Times New Roman" w:cs="Times New Roman"/>
      <w:sz w:val="20"/>
      <w:szCs w:val="20"/>
    </w:rPr>
  </w:style>
  <w:style w:type="character" w:styleId="FootnoteReference">
    <w:name w:val="footnote reference"/>
    <w:basedOn w:val="DefaultParagraphFont"/>
    <w:rsid w:val="007B0557"/>
    <w:rPr>
      <w:vertAlign w:val="superscript"/>
    </w:rPr>
  </w:style>
  <w:style w:type="character" w:styleId="Hyperlink">
    <w:name w:val="Hyperlink"/>
    <w:uiPriority w:val="99"/>
    <w:unhideWhenUsed/>
    <w:rsid w:val="00AB0F88"/>
    <w:rPr>
      <w:color w:val="0000FF"/>
      <w:u w:val="single"/>
    </w:rPr>
  </w:style>
  <w:style w:type="paragraph" w:styleId="BalloonText">
    <w:name w:val="Balloon Text"/>
    <w:basedOn w:val="Normal"/>
    <w:link w:val="BalloonTextChar"/>
    <w:uiPriority w:val="99"/>
    <w:semiHidden/>
    <w:unhideWhenUsed/>
    <w:rsid w:val="0004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c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Administratorpyl</dc:creator>
  <cp:lastModifiedBy>CPEC Secretariat - Study Circle/Chapter Approvals</cp:lastModifiedBy>
  <cp:revision>3</cp:revision>
  <cp:lastPrinted>2023-08-04T12:11:00Z</cp:lastPrinted>
  <dcterms:created xsi:type="dcterms:W3CDTF">2023-09-11T07:14:00Z</dcterms:created>
  <dcterms:modified xsi:type="dcterms:W3CDTF">2023-09-11T07:18:00Z</dcterms:modified>
</cp:coreProperties>
</file>